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8E3"/>
  <w:body>
    <w:p w14:paraId="1A3E8B2D" w14:textId="3A3C8584" w:rsidR="003A4817" w:rsidRDefault="00DF321B" w:rsidP="008E340B">
      <w:pPr>
        <w:jc w:val="center"/>
        <w:rPr>
          <w:rFonts w:ascii="Fira Sans SemiBold" w:hAnsi="Fira Sans SemiBold" w:cstheme="minorHAnsi"/>
          <w:bCs/>
          <w:color w:val="002E4A"/>
          <w:sz w:val="36"/>
          <w:szCs w:val="36"/>
          <w:lang w:eastAsia="en-US"/>
        </w:rPr>
      </w:pPr>
      <w:bookmarkStart w:id="0" w:name="_GoBack"/>
      <w:bookmarkEnd w:id="0"/>
      <w:r w:rsidRPr="007759D7">
        <w:rPr>
          <w:rFonts w:ascii="Fira Sans SemiBold" w:hAnsi="Fira Sans SemiBold" w:cstheme="minorHAnsi"/>
          <w:bCs/>
          <w:color w:val="002E4A"/>
          <w:sz w:val="36"/>
          <w:szCs w:val="36"/>
          <w:lang w:eastAsia="en-US"/>
        </w:rPr>
        <w:t>Lederlønnsrapport</w:t>
      </w:r>
      <w:r w:rsidR="00911180" w:rsidRPr="007759D7">
        <w:rPr>
          <w:rFonts w:ascii="Fira Sans SemiBold" w:hAnsi="Fira Sans SemiBold" w:cstheme="minorHAnsi"/>
          <w:bCs/>
          <w:color w:val="002E4A"/>
          <w:sz w:val="36"/>
          <w:szCs w:val="36"/>
          <w:lang w:eastAsia="en-US"/>
        </w:rPr>
        <w:t xml:space="preserve"> </w:t>
      </w:r>
      <w:r w:rsidR="008E340B" w:rsidRPr="007759D7">
        <w:rPr>
          <w:rFonts w:ascii="Fira Sans SemiBold" w:hAnsi="Fira Sans SemiBold" w:cstheme="minorHAnsi"/>
          <w:bCs/>
          <w:color w:val="002E4A"/>
          <w:sz w:val="36"/>
          <w:szCs w:val="36"/>
          <w:lang w:eastAsia="en-US"/>
        </w:rPr>
        <w:t>2021</w:t>
      </w:r>
    </w:p>
    <w:p w14:paraId="3EDAF9FC" w14:textId="5DC33867" w:rsidR="00C0136E" w:rsidRPr="007759D7" w:rsidRDefault="00C0136E" w:rsidP="008E340B">
      <w:pPr>
        <w:jc w:val="center"/>
        <w:rPr>
          <w:rFonts w:ascii="Fira Sans SemiBold" w:hAnsi="Fira Sans SemiBold" w:cstheme="minorHAnsi"/>
          <w:bCs/>
          <w:color w:val="002E4A"/>
          <w:sz w:val="36"/>
          <w:szCs w:val="36"/>
        </w:rPr>
      </w:pPr>
      <w:r>
        <w:rPr>
          <w:rFonts w:ascii="Fira Sans SemiBold" w:hAnsi="Fira Sans SemiBold" w:cstheme="minorHAnsi"/>
          <w:bCs/>
          <w:color w:val="002E4A"/>
          <w:sz w:val="36"/>
          <w:szCs w:val="36"/>
          <w:lang w:eastAsia="en-US"/>
        </w:rPr>
        <w:t>Sparebanken Øst</w:t>
      </w:r>
    </w:p>
    <w:p w14:paraId="6C6DFD69" w14:textId="77777777" w:rsidR="00FC586C" w:rsidRPr="00255968" w:rsidRDefault="00FC586C">
      <w:pPr>
        <w:rPr>
          <w:rFonts w:ascii="Source Sans Pro" w:hAnsi="Source Sans Pro" w:cstheme="minorHAnsi"/>
          <w:sz w:val="24"/>
          <w:szCs w:val="24"/>
        </w:rPr>
      </w:pPr>
    </w:p>
    <w:p w14:paraId="529F8A99" w14:textId="77777777" w:rsidR="008E340B" w:rsidRPr="00255968" w:rsidRDefault="008E340B">
      <w:pPr>
        <w:rPr>
          <w:rFonts w:ascii="Source Sans Pro" w:hAnsi="Source Sans Pro" w:cstheme="minorHAnsi"/>
          <w:sz w:val="24"/>
          <w:szCs w:val="24"/>
        </w:rPr>
      </w:pPr>
    </w:p>
    <w:p w14:paraId="4D94E753" w14:textId="77777777" w:rsidR="008E340B" w:rsidRPr="00255968" w:rsidRDefault="008E340B">
      <w:pPr>
        <w:rPr>
          <w:rFonts w:ascii="Source Sans Pro" w:hAnsi="Source Sans Pro" w:cstheme="minorHAnsi"/>
          <w:sz w:val="24"/>
          <w:szCs w:val="24"/>
        </w:rPr>
      </w:pPr>
    </w:p>
    <w:p w14:paraId="74F18ACB" w14:textId="77777777" w:rsidR="007759D7" w:rsidRDefault="007759D7" w:rsidP="008E340B">
      <w:pPr>
        <w:ind w:left="708"/>
        <w:rPr>
          <w:rFonts w:ascii="Source Sans Pro" w:hAnsi="Source Sans Pro" w:cstheme="minorHAnsi"/>
          <w:b/>
          <w:color w:val="002E4A"/>
          <w:sz w:val="24"/>
          <w:szCs w:val="24"/>
        </w:rPr>
        <w:sectPr w:rsidR="007759D7" w:rsidSect="0027776B">
          <w:footerReference w:type="default" r:id="rId8"/>
          <w:pgSz w:w="16838" w:h="11906" w:orient="landscape"/>
          <w:pgMar w:top="1418" w:right="1418" w:bottom="1418" w:left="1418" w:header="709" w:footer="709" w:gutter="0"/>
          <w:cols w:space="708"/>
          <w:docGrid w:linePitch="272"/>
        </w:sectPr>
      </w:pPr>
    </w:p>
    <w:p w14:paraId="647B2987" w14:textId="20A855D5" w:rsidR="00FC586C" w:rsidRPr="007759D7" w:rsidRDefault="004208A0" w:rsidP="00400D78">
      <w:pPr>
        <w:rPr>
          <w:rFonts w:ascii="Source Sans Pro" w:hAnsi="Source Sans Pro" w:cstheme="minorHAnsi"/>
          <w:b/>
          <w:color w:val="002E4A"/>
          <w:sz w:val="24"/>
          <w:szCs w:val="24"/>
        </w:rPr>
      </w:pPr>
      <w:r w:rsidRPr="007759D7">
        <w:rPr>
          <w:rFonts w:ascii="Source Sans Pro" w:hAnsi="Source Sans Pro" w:cstheme="minorHAnsi"/>
          <w:b/>
          <w:color w:val="002E4A"/>
          <w:sz w:val="24"/>
          <w:szCs w:val="24"/>
        </w:rPr>
        <w:t xml:space="preserve">1. </w:t>
      </w:r>
      <w:r w:rsidR="00812F8E" w:rsidRPr="007759D7">
        <w:rPr>
          <w:rFonts w:ascii="Source Sans Pro" w:hAnsi="Source Sans Pro" w:cstheme="minorHAnsi"/>
          <w:b/>
          <w:color w:val="002E4A"/>
          <w:sz w:val="24"/>
          <w:szCs w:val="24"/>
        </w:rPr>
        <w:t>Introduksjon</w:t>
      </w:r>
    </w:p>
    <w:p w14:paraId="63F4F9BB" w14:textId="77777777" w:rsidR="00476616" w:rsidRPr="00255968" w:rsidRDefault="00476616" w:rsidP="00476616">
      <w:pPr>
        <w:rPr>
          <w:rFonts w:ascii="Source Sans Pro" w:hAnsi="Source Sans Pro" w:cstheme="minorHAnsi"/>
          <w:b/>
          <w:sz w:val="24"/>
          <w:szCs w:val="24"/>
        </w:rPr>
      </w:pPr>
    </w:p>
    <w:p w14:paraId="481D6508" w14:textId="77777777" w:rsidR="00476616" w:rsidRPr="00255968" w:rsidRDefault="00476616" w:rsidP="00812F8E">
      <w:pPr>
        <w:rPr>
          <w:rFonts w:ascii="Source Sans Pro" w:hAnsi="Source Sans Pro" w:cstheme="minorHAnsi"/>
          <w:sz w:val="24"/>
          <w:szCs w:val="24"/>
        </w:rPr>
      </w:pPr>
      <w:r w:rsidRPr="00255968">
        <w:rPr>
          <w:rFonts w:ascii="Source Sans Pro" w:hAnsi="Source Sans Pro" w:cstheme="minorHAnsi"/>
          <w:sz w:val="24"/>
          <w:szCs w:val="24"/>
        </w:rPr>
        <w:t>Lederlønnsrapporten er utarbeidet av styret i Sparebanken Øst</w:t>
      </w:r>
      <w:r w:rsidR="00D44FA0" w:rsidRPr="00255968">
        <w:rPr>
          <w:rFonts w:ascii="Source Sans Pro" w:hAnsi="Source Sans Pro" w:cstheme="minorHAnsi"/>
          <w:sz w:val="24"/>
          <w:szCs w:val="24"/>
        </w:rPr>
        <w:t xml:space="preserve"> og legges</w:t>
      </w:r>
      <w:r w:rsidR="005503EF" w:rsidRPr="00255968">
        <w:rPr>
          <w:rFonts w:ascii="Source Sans Pro" w:hAnsi="Source Sans Pro" w:cstheme="minorHAnsi"/>
          <w:sz w:val="24"/>
          <w:szCs w:val="24"/>
        </w:rPr>
        <w:t xml:space="preserve"> fram for f</w:t>
      </w:r>
      <w:r w:rsidRPr="00255968">
        <w:rPr>
          <w:rFonts w:ascii="Source Sans Pro" w:hAnsi="Source Sans Pro" w:cstheme="minorHAnsi"/>
          <w:sz w:val="24"/>
          <w:szCs w:val="24"/>
        </w:rPr>
        <w:t>orstanderskapet til rådgivende avstemming 24.mars 2</w:t>
      </w:r>
      <w:r w:rsidR="008E340B" w:rsidRPr="00255968">
        <w:rPr>
          <w:rFonts w:ascii="Source Sans Pro" w:hAnsi="Source Sans Pro" w:cstheme="minorHAnsi"/>
          <w:sz w:val="24"/>
          <w:szCs w:val="24"/>
        </w:rPr>
        <w:t>022 i henhold Allmennaksjeloven</w:t>
      </w:r>
      <w:r w:rsidRPr="00255968">
        <w:rPr>
          <w:rFonts w:ascii="Source Sans Pro" w:hAnsi="Source Sans Pro" w:cstheme="minorHAnsi"/>
          <w:sz w:val="24"/>
          <w:szCs w:val="24"/>
        </w:rPr>
        <w:t xml:space="preserve"> </w:t>
      </w:r>
      <w:r w:rsidR="008E340B" w:rsidRPr="00255968">
        <w:rPr>
          <w:rFonts w:ascii="Source Sans Pro" w:hAnsi="Source Sans Pro" w:cstheme="minorHAnsi"/>
          <w:sz w:val="24"/>
          <w:szCs w:val="24"/>
        </w:rPr>
        <w:t>§</w:t>
      </w:r>
      <w:r w:rsidRPr="00255968">
        <w:rPr>
          <w:rFonts w:ascii="Source Sans Pro" w:hAnsi="Source Sans Pro" w:cstheme="minorHAnsi"/>
          <w:sz w:val="24"/>
          <w:szCs w:val="24"/>
        </w:rPr>
        <w:t xml:space="preserve">6-16b. </w:t>
      </w:r>
      <w:r w:rsidR="00E30058" w:rsidRPr="00255968">
        <w:rPr>
          <w:rFonts w:ascii="Source Sans Pro" w:hAnsi="Source Sans Pro" w:cstheme="minorHAnsi"/>
          <w:sz w:val="24"/>
          <w:szCs w:val="24"/>
        </w:rPr>
        <w:t>jf. Finansforetaksloven § 15-6.</w:t>
      </w:r>
    </w:p>
    <w:p w14:paraId="2AB9C58A" w14:textId="77777777" w:rsidR="00B51D37" w:rsidRPr="00255968" w:rsidRDefault="00B51D37" w:rsidP="00B51D37">
      <w:pPr>
        <w:rPr>
          <w:rFonts w:ascii="Source Sans Pro" w:hAnsi="Source Sans Pro" w:cstheme="minorHAnsi"/>
        </w:rPr>
      </w:pPr>
      <w:r w:rsidRPr="00255968">
        <w:rPr>
          <w:rFonts w:ascii="Source Sans Pro" w:hAnsi="Source Sans Pro" w:cstheme="minorHAnsi"/>
          <w:sz w:val="24"/>
          <w:szCs w:val="24"/>
        </w:rPr>
        <w:br/>
        <w:t>Bankens retningslinjer for godtgjørelse ble lagt frem til behandling i forstanderskapet 25. mars 2021. Retningslinjene som er vedtatt 24. mars 2022 er endret for å ivareta nye formkrav i allmennaksjelovens §6-16a og forskrift om retningslinjer og rapport om godtgjørelse for ledende personer. Godtgjørelsesordningens innhold og praksis videreføres uten vesentlige endringer.</w:t>
      </w:r>
    </w:p>
    <w:p w14:paraId="33DC0C9C" w14:textId="77777777" w:rsidR="00AA49E4" w:rsidRPr="00255968" w:rsidRDefault="00AA49E4" w:rsidP="003F6356">
      <w:pPr>
        <w:rPr>
          <w:rFonts w:ascii="Source Sans Pro" w:hAnsi="Source Sans Pro" w:cstheme="minorHAnsi"/>
          <w:sz w:val="24"/>
          <w:szCs w:val="24"/>
        </w:rPr>
      </w:pPr>
    </w:p>
    <w:p w14:paraId="1BDC8F78" w14:textId="77777777" w:rsidR="008E340B" w:rsidRPr="00255968" w:rsidRDefault="00812F8E" w:rsidP="008E340B">
      <w:pPr>
        <w:rPr>
          <w:rFonts w:ascii="Source Sans Pro" w:hAnsi="Source Sans Pro" w:cstheme="minorHAnsi"/>
          <w:sz w:val="24"/>
          <w:szCs w:val="24"/>
        </w:rPr>
      </w:pPr>
      <w:r w:rsidRPr="00255968">
        <w:rPr>
          <w:rFonts w:ascii="Source Sans Pro" w:hAnsi="Source Sans Pro" w:cstheme="minorHAnsi"/>
          <w:sz w:val="24"/>
          <w:szCs w:val="24"/>
        </w:rPr>
        <w:t>S</w:t>
      </w:r>
      <w:r w:rsidR="00686632" w:rsidRPr="00255968">
        <w:rPr>
          <w:rFonts w:ascii="Source Sans Pro" w:hAnsi="Source Sans Pro" w:cstheme="minorHAnsi"/>
          <w:sz w:val="24"/>
          <w:szCs w:val="24"/>
        </w:rPr>
        <w:t xml:space="preserve">parebanken Øst er avhengig av å oppnå en god avkastning over tid for å være en relevant </w:t>
      </w:r>
      <w:r w:rsidR="00AF6944" w:rsidRPr="00255968">
        <w:rPr>
          <w:rFonts w:ascii="Source Sans Pro" w:hAnsi="Source Sans Pro" w:cstheme="minorHAnsi"/>
          <w:sz w:val="24"/>
          <w:szCs w:val="24"/>
        </w:rPr>
        <w:t xml:space="preserve">bank </w:t>
      </w:r>
      <w:r w:rsidR="00686632" w:rsidRPr="00255968">
        <w:rPr>
          <w:rFonts w:ascii="Source Sans Pro" w:hAnsi="Source Sans Pro" w:cstheme="minorHAnsi"/>
          <w:sz w:val="24"/>
          <w:szCs w:val="24"/>
        </w:rPr>
        <w:t>for våre kunder og egenkapitalbeviseiere. En god avkastning er en indikasjon på at banken forvalter ressursene den bruker på en effektive og samfunnsnyttig måte. Banken</w:t>
      </w:r>
      <w:r w:rsidR="00DF0B37" w:rsidRPr="00255968">
        <w:rPr>
          <w:rFonts w:ascii="Source Sans Pro" w:hAnsi="Source Sans Pro" w:cstheme="minorHAnsi"/>
          <w:sz w:val="24"/>
          <w:szCs w:val="24"/>
        </w:rPr>
        <w:t>s overordnede økonomiske mål er</w:t>
      </w:r>
      <w:r w:rsidR="00686632" w:rsidRPr="00255968">
        <w:rPr>
          <w:rFonts w:ascii="Source Sans Pro" w:hAnsi="Source Sans Pro" w:cstheme="minorHAnsi"/>
          <w:sz w:val="24"/>
          <w:szCs w:val="24"/>
        </w:rPr>
        <w:t xml:space="preserve"> en avkastning på egenkapitalen </w:t>
      </w:r>
      <w:r w:rsidR="00DF0B37" w:rsidRPr="00255968">
        <w:rPr>
          <w:rFonts w:ascii="Source Sans Pro" w:hAnsi="Source Sans Pro" w:cstheme="minorHAnsi"/>
          <w:sz w:val="24"/>
          <w:szCs w:val="24"/>
        </w:rPr>
        <w:t xml:space="preserve">på 10 </w:t>
      </w:r>
      <w:r w:rsidR="00827F44" w:rsidRPr="00255968">
        <w:rPr>
          <w:rFonts w:ascii="Source Sans Pro" w:hAnsi="Source Sans Pro" w:cstheme="minorHAnsi"/>
          <w:sz w:val="24"/>
          <w:szCs w:val="24"/>
        </w:rPr>
        <w:t>prosent</w:t>
      </w:r>
      <w:r w:rsidR="00DF0B37" w:rsidRPr="00255968">
        <w:rPr>
          <w:rFonts w:ascii="Source Sans Pro" w:hAnsi="Source Sans Pro" w:cstheme="minorHAnsi"/>
          <w:sz w:val="24"/>
          <w:szCs w:val="24"/>
        </w:rPr>
        <w:t xml:space="preserve"> </w:t>
      </w:r>
      <w:r w:rsidR="00686632" w:rsidRPr="00255968">
        <w:rPr>
          <w:rFonts w:ascii="Source Sans Pro" w:hAnsi="Source Sans Pro" w:cstheme="minorHAnsi"/>
          <w:sz w:val="24"/>
          <w:szCs w:val="24"/>
        </w:rPr>
        <w:t xml:space="preserve">over tid </w:t>
      </w:r>
      <w:r w:rsidR="00DF0B37" w:rsidRPr="00255968">
        <w:rPr>
          <w:rFonts w:ascii="Source Sans Pro" w:hAnsi="Source Sans Pro" w:cstheme="minorHAnsi"/>
          <w:sz w:val="24"/>
          <w:szCs w:val="24"/>
        </w:rPr>
        <w:t xml:space="preserve">og en ren kjernekapital </w:t>
      </w:r>
      <w:r w:rsidR="00686632" w:rsidRPr="00255968">
        <w:rPr>
          <w:rFonts w:ascii="Source Sans Pro" w:hAnsi="Source Sans Pro" w:cstheme="minorHAnsi"/>
          <w:sz w:val="24"/>
          <w:szCs w:val="24"/>
        </w:rPr>
        <w:t xml:space="preserve">på over 14,75 </w:t>
      </w:r>
      <w:r w:rsidR="00827F44" w:rsidRPr="00255968">
        <w:rPr>
          <w:rFonts w:ascii="Source Sans Pro" w:hAnsi="Source Sans Pro" w:cstheme="minorHAnsi"/>
          <w:sz w:val="24"/>
          <w:szCs w:val="24"/>
        </w:rPr>
        <w:t>prosent</w:t>
      </w:r>
      <w:r w:rsidR="00686632" w:rsidRPr="00255968">
        <w:rPr>
          <w:rFonts w:ascii="Source Sans Pro" w:hAnsi="Source Sans Pro" w:cstheme="minorHAnsi"/>
          <w:sz w:val="24"/>
          <w:szCs w:val="24"/>
        </w:rPr>
        <w:t xml:space="preserve">.  </w:t>
      </w:r>
      <w:r w:rsidR="00DF0B37" w:rsidRPr="00255968">
        <w:rPr>
          <w:rFonts w:ascii="Source Sans Pro" w:hAnsi="Source Sans Pro" w:cstheme="minorHAnsi"/>
          <w:sz w:val="24"/>
          <w:szCs w:val="24"/>
        </w:rPr>
        <w:br/>
      </w:r>
    </w:p>
    <w:p w14:paraId="7778BD6A" w14:textId="77777777" w:rsidR="008E340B" w:rsidRPr="00255968" w:rsidRDefault="008E340B" w:rsidP="008E340B">
      <w:pPr>
        <w:rPr>
          <w:rFonts w:ascii="Source Sans Pro" w:hAnsi="Source Sans Pro" w:cstheme="minorHAnsi"/>
          <w:sz w:val="24"/>
          <w:szCs w:val="24"/>
        </w:rPr>
      </w:pPr>
      <w:r w:rsidRPr="00255968">
        <w:rPr>
          <w:rFonts w:ascii="Source Sans Pro" w:hAnsi="Source Sans Pro" w:cstheme="minorHAnsi"/>
          <w:sz w:val="24"/>
          <w:szCs w:val="24"/>
        </w:rPr>
        <w:t>Sparebanken Øst vil være en attraktiv arbeidsgiver som tilbyr konkurransedyktige betingelser for kompetente og ansvarsbevisste mennesker, som bidrar aktivt til bankens resultater. Ansatte og ledende personer skal lønnes ut fra dyktighet, kompetanse, arbeidsinnsats, initiativ, samarbeidsevne og omstillingsevne. Dette skal bidra til at banken kan rekruttere og beholde kvalifiserte medarbeidere slik at banken når sine mål og strategier.</w:t>
      </w:r>
    </w:p>
    <w:p w14:paraId="6E078F01" w14:textId="77777777" w:rsidR="008E340B" w:rsidRPr="00255968" w:rsidRDefault="008E340B" w:rsidP="008E340B">
      <w:pPr>
        <w:rPr>
          <w:rFonts w:ascii="Source Sans Pro" w:hAnsi="Source Sans Pro" w:cstheme="minorHAnsi"/>
          <w:sz w:val="24"/>
          <w:szCs w:val="24"/>
        </w:rPr>
      </w:pPr>
    </w:p>
    <w:p w14:paraId="3306112D" w14:textId="77777777" w:rsidR="00686632" w:rsidRPr="00255968" w:rsidRDefault="008E340B" w:rsidP="008E340B">
      <w:pPr>
        <w:rPr>
          <w:rFonts w:ascii="Source Sans Pro" w:hAnsi="Source Sans Pro" w:cstheme="minorHAnsi"/>
          <w:sz w:val="24"/>
          <w:szCs w:val="24"/>
        </w:rPr>
      </w:pPr>
      <w:r w:rsidRPr="00255968">
        <w:rPr>
          <w:rFonts w:ascii="Source Sans Pro" w:hAnsi="Source Sans Pro" w:cstheme="minorHAnsi"/>
          <w:sz w:val="24"/>
          <w:szCs w:val="24"/>
        </w:rPr>
        <w:t>Fastlønn utgjør hovedinntekten til alle ansatte i Sparebanken Øst. Godtgjørelse utover fastlønn utgjør derfor en liten del av den ansattes inntekt. Dette gjelder også ledende personer. Dette støtter oppunder bankens økonomiske str</w:t>
      </w:r>
      <w:r w:rsidR="00AF6944" w:rsidRPr="00255968">
        <w:rPr>
          <w:rFonts w:ascii="Source Sans Pro" w:hAnsi="Source Sans Pro" w:cstheme="minorHAnsi"/>
          <w:sz w:val="24"/>
          <w:szCs w:val="24"/>
        </w:rPr>
        <w:t xml:space="preserve">ategi og bæreevne, mål og </w:t>
      </w:r>
      <w:r w:rsidRPr="00255968">
        <w:rPr>
          <w:rFonts w:ascii="Source Sans Pro" w:hAnsi="Source Sans Pro" w:cstheme="minorHAnsi"/>
          <w:sz w:val="24"/>
          <w:szCs w:val="24"/>
        </w:rPr>
        <w:t>bankens lave risikoprofil og langsiktige interesser. Videre bidrar det til å redusere interessekonflikter mellom banken, ansatte og kunder.</w:t>
      </w:r>
    </w:p>
    <w:p w14:paraId="0ACDAFE9" w14:textId="77777777" w:rsidR="008E340B" w:rsidRPr="00255968" w:rsidRDefault="008E340B" w:rsidP="008E340B">
      <w:pPr>
        <w:rPr>
          <w:rFonts w:ascii="Source Sans Pro" w:hAnsi="Source Sans Pro" w:cstheme="minorHAnsi"/>
          <w:sz w:val="24"/>
          <w:szCs w:val="24"/>
        </w:rPr>
      </w:pPr>
    </w:p>
    <w:p w14:paraId="0FE238D7" w14:textId="77777777" w:rsidR="003F6356" w:rsidRPr="00255968" w:rsidRDefault="00686632" w:rsidP="00812F8E">
      <w:pPr>
        <w:rPr>
          <w:rFonts w:ascii="Source Sans Pro" w:hAnsi="Source Sans Pro" w:cstheme="minorHAnsi"/>
          <w:sz w:val="24"/>
          <w:szCs w:val="24"/>
        </w:rPr>
      </w:pPr>
      <w:r w:rsidRPr="00255968">
        <w:rPr>
          <w:rFonts w:ascii="Source Sans Pro" w:hAnsi="Source Sans Pro" w:cstheme="minorHAnsi"/>
          <w:sz w:val="24"/>
          <w:szCs w:val="24"/>
        </w:rPr>
        <w:lastRenderedPageBreak/>
        <w:t>Bankens årsresultat for 2021 er på 375,4 millioner kroner som gir en egenkapitalrentabilitet på 8,86 prosent. Banken er ved utgangen av 2021 meget solid med ren kjernekapitaldekning på 18,24 prosent og en uvektet kjernekapitalandel på 8,60 prosent.</w:t>
      </w:r>
      <w:r w:rsidR="003F6356" w:rsidRPr="00255968">
        <w:rPr>
          <w:rFonts w:ascii="Source Sans Pro" w:hAnsi="Source Sans Pro" w:cstheme="minorHAnsi"/>
          <w:sz w:val="24"/>
          <w:szCs w:val="24"/>
        </w:rPr>
        <w:t xml:space="preserve"> Banken har i 2021 hatt en utlånsvekst på 11,1 </w:t>
      </w:r>
      <w:r w:rsidR="00827F44" w:rsidRPr="00255968">
        <w:rPr>
          <w:rFonts w:ascii="Source Sans Pro" w:hAnsi="Source Sans Pro" w:cstheme="minorHAnsi"/>
          <w:sz w:val="24"/>
          <w:szCs w:val="24"/>
        </w:rPr>
        <w:t>prosent</w:t>
      </w:r>
      <w:r w:rsidR="003F6356" w:rsidRPr="00255968">
        <w:rPr>
          <w:rFonts w:ascii="Source Sans Pro" w:hAnsi="Source Sans Pro" w:cstheme="minorHAnsi"/>
          <w:sz w:val="24"/>
          <w:szCs w:val="24"/>
        </w:rPr>
        <w:t xml:space="preserve"> og en innskuddsvekst på 18,4 </w:t>
      </w:r>
      <w:r w:rsidR="00827F44" w:rsidRPr="00255968">
        <w:rPr>
          <w:rFonts w:ascii="Source Sans Pro" w:hAnsi="Source Sans Pro" w:cstheme="minorHAnsi"/>
          <w:sz w:val="24"/>
          <w:szCs w:val="24"/>
        </w:rPr>
        <w:t>prosent</w:t>
      </w:r>
      <w:r w:rsidR="003F6356" w:rsidRPr="00255968">
        <w:rPr>
          <w:rFonts w:ascii="Source Sans Pro" w:hAnsi="Source Sans Pro" w:cstheme="minorHAnsi"/>
          <w:sz w:val="24"/>
          <w:szCs w:val="24"/>
        </w:rPr>
        <w:t xml:space="preserve">.  </w:t>
      </w:r>
    </w:p>
    <w:p w14:paraId="026402DD" w14:textId="77777777" w:rsidR="007759D7" w:rsidRDefault="007759D7" w:rsidP="00812F8E">
      <w:pPr>
        <w:rPr>
          <w:rFonts w:ascii="Source Sans Pro" w:hAnsi="Source Sans Pro" w:cstheme="minorHAnsi"/>
          <w:sz w:val="24"/>
          <w:szCs w:val="24"/>
        </w:rPr>
        <w:sectPr w:rsidR="007759D7" w:rsidSect="007759D7">
          <w:type w:val="continuous"/>
          <w:pgSz w:w="16838" w:h="11906" w:orient="landscape"/>
          <w:pgMar w:top="1417" w:right="1417" w:bottom="1417" w:left="1417" w:header="708" w:footer="708" w:gutter="0"/>
          <w:cols w:num="2" w:space="708"/>
          <w:docGrid w:linePitch="272"/>
        </w:sectPr>
      </w:pPr>
    </w:p>
    <w:p w14:paraId="74AB569C" w14:textId="71667359" w:rsidR="00812F8E" w:rsidRPr="00255968" w:rsidRDefault="00812F8E" w:rsidP="00812F8E">
      <w:pPr>
        <w:rPr>
          <w:rFonts w:ascii="Source Sans Pro" w:hAnsi="Source Sans Pro" w:cstheme="minorHAnsi"/>
          <w:sz w:val="24"/>
          <w:szCs w:val="24"/>
        </w:rPr>
      </w:pPr>
    </w:p>
    <w:p w14:paraId="151FBEB7" w14:textId="77777777" w:rsidR="00400D78" w:rsidRDefault="00400D78" w:rsidP="00072F9F">
      <w:pPr>
        <w:pStyle w:val="Default"/>
        <w:rPr>
          <w:rFonts w:ascii="Source Sans Pro" w:hAnsi="Source Sans Pro" w:cstheme="minorHAnsi"/>
          <w:color w:val="auto"/>
        </w:rPr>
        <w:sectPr w:rsidR="00400D78" w:rsidSect="007759D7">
          <w:type w:val="continuous"/>
          <w:pgSz w:w="16838" w:h="11906" w:orient="landscape"/>
          <w:pgMar w:top="1417" w:right="1417" w:bottom="1417" w:left="1417" w:header="708" w:footer="708" w:gutter="0"/>
          <w:cols w:space="708"/>
          <w:docGrid w:linePitch="272"/>
        </w:sectPr>
      </w:pPr>
    </w:p>
    <w:p w14:paraId="36AA817E" w14:textId="77777777" w:rsidR="00400D78" w:rsidRDefault="003E4F5F" w:rsidP="00072F9F">
      <w:pPr>
        <w:pStyle w:val="Default"/>
        <w:rPr>
          <w:rFonts w:ascii="Source Sans Pro" w:hAnsi="Source Sans Pro" w:cstheme="minorHAnsi"/>
          <w:color w:val="auto"/>
        </w:rPr>
        <w:sectPr w:rsidR="00400D78" w:rsidSect="00400D78">
          <w:type w:val="continuous"/>
          <w:pgSz w:w="16838" w:h="11906" w:orient="landscape"/>
          <w:pgMar w:top="1417" w:right="1417" w:bottom="1417" w:left="1417" w:header="708" w:footer="708" w:gutter="0"/>
          <w:cols w:num="2" w:space="708"/>
          <w:docGrid w:linePitch="272"/>
        </w:sectPr>
      </w:pPr>
      <w:r w:rsidRPr="00255968">
        <w:rPr>
          <w:rFonts w:ascii="Source Sans Pro" w:hAnsi="Source Sans Pro" w:cstheme="minorHAnsi"/>
          <w:color w:val="auto"/>
        </w:rPr>
        <w:t xml:space="preserve">Sparebanken Øst har en generell overskuddsdeling som gjelder alle ansatte inkludert ledende personer. Overskuddsdelingen kan maksimalt utgjøre halvannen månedslønn. </w:t>
      </w:r>
      <w:r w:rsidR="00B51D37" w:rsidRPr="00255968">
        <w:rPr>
          <w:rFonts w:ascii="Source Sans Pro" w:hAnsi="Source Sans Pro" w:cstheme="minorHAnsi"/>
          <w:color w:val="auto"/>
        </w:rPr>
        <w:t xml:space="preserve">Ordningen omfattes ikke av godtgjørelsesreglene jamfør Finanstilsynets rundskriv 2/2020. </w:t>
      </w:r>
    </w:p>
    <w:p w14:paraId="6C269BF3" w14:textId="06EBA3C9" w:rsidR="00550C72" w:rsidRPr="00255968" w:rsidRDefault="00550C72" w:rsidP="00072F9F">
      <w:pPr>
        <w:pStyle w:val="Default"/>
        <w:rPr>
          <w:rFonts w:ascii="Source Sans Pro" w:hAnsi="Source Sans Pro" w:cstheme="minorHAnsi"/>
        </w:rPr>
      </w:pPr>
    </w:p>
    <w:p w14:paraId="2039AE18" w14:textId="77777777" w:rsidR="000F14A1" w:rsidRPr="00255968" w:rsidRDefault="000F14A1" w:rsidP="00072F9F">
      <w:pPr>
        <w:pStyle w:val="Default"/>
        <w:rPr>
          <w:rFonts w:ascii="Source Sans Pro" w:hAnsi="Source Sans Pro" w:cstheme="minorHAnsi"/>
        </w:rPr>
      </w:pPr>
    </w:p>
    <w:p w14:paraId="5FD88916" w14:textId="77777777" w:rsidR="00B51937" w:rsidRPr="007759D7" w:rsidRDefault="004208A0" w:rsidP="007744C8">
      <w:pPr>
        <w:overflowPunct/>
        <w:autoSpaceDE/>
        <w:autoSpaceDN/>
        <w:adjustRightInd/>
        <w:textAlignment w:val="auto"/>
        <w:rPr>
          <w:rFonts w:ascii="Source Sans Pro" w:hAnsi="Source Sans Pro" w:cstheme="minorHAnsi"/>
          <w:b/>
          <w:color w:val="002E4A"/>
          <w:sz w:val="24"/>
          <w:szCs w:val="24"/>
        </w:rPr>
      </w:pPr>
      <w:r w:rsidRPr="007759D7">
        <w:rPr>
          <w:rFonts w:ascii="Source Sans Pro" w:hAnsi="Source Sans Pro" w:cstheme="minorHAnsi"/>
          <w:b/>
          <w:color w:val="002E4A"/>
          <w:sz w:val="24"/>
          <w:szCs w:val="24"/>
        </w:rPr>
        <w:t xml:space="preserve">2. Total godtgjørelse </w:t>
      </w:r>
      <w:r w:rsidR="00B51937" w:rsidRPr="007759D7">
        <w:rPr>
          <w:rFonts w:ascii="Source Sans Pro" w:hAnsi="Source Sans Pro" w:cstheme="minorHAnsi"/>
          <w:b/>
          <w:color w:val="002E4A"/>
          <w:sz w:val="24"/>
          <w:szCs w:val="24"/>
        </w:rPr>
        <w:t xml:space="preserve">ledende personer </w:t>
      </w:r>
    </w:p>
    <w:p w14:paraId="110FFDF1" w14:textId="77777777" w:rsidR="00B51937" w:rsidRPr="00255968" w:rsidRDefault="00B51937" w:rsidP="00B51937">
      <w:pPr>
        <w:rPr>
          <w:rFonts w:ascii="Source Sans Pro" w:hAnsi="Source Sans Pro" w:cstheme="minorHAnsi"/>
          <w:b/>
          <w:sz w:val="24"/>
          <w:szCs w:val="24"/>
        </w:rPr>
      </w:pPr>
    </w:p>
    <w:p w14:paraId="2D8DBE13" w14:textId="2688AD3C" w:rsidR="000F14A1" w:rsidRPr="00255968" w:rsidRDefault="00BC45E9" w:rsidP="00B51937">
      <w:pPr>
        <w:rPr>
          <w:rFonts w:ascii="Source Sans Pro" w:hAnsi="Source Sans Pro" w:cstheme="minorHAnsi"/>
          <w:sz w:val="16"/>
          <w:szCs w:val="16"/>
          <w:vertAlign w:val="superscript"/>
        </w:rPr>
      </w:pPr>
      <w:r w:rsidRPr="00255968">
        <w:rPr>
          <w:rFonts w:ascii="Source Sans Pro" w:hAnsi="Source Sans Pro" w:cstheme="minorHAnsi"/>
          <w:sz w:val="24"/>
          <w:szCs w:val="24"/>
        </w:rPr>
        <w:t>Tabellene under viser total</w:t>
      </w:r>
      <w:r w:rsidR="00B51937" w:rsidRPr="00255968">
        <w:rPr>
          <w:rFonts w:ascii="Source Sans Pro" w:hAnsi="Source Sans Pro" w:cstheme="minorHAnsi"/>
          <w:sz w:val="24"/>
          <w:szCs w:val="24"/>
        </w:rPr>
        <w:t xml:space="preserve"> godtgjørelse for ledende person</w:t>
      </w:r>
      <w:r w:rsidR="006A2A42" w:rsidRPr="00255968">
        <w:rPr>
          <w:rFonts w:ascii="Source Sans Pro" w:hAnsi="Source Sans Pro" w:cstheme="minorHAnsi"/>
          <w:sz w:val="24"/>
          <w:szCs w:val="24"/>
        </w:rPr>
        <w:t>er</w:t>
      </w:r>
      <w:r w:rsidR="00B51937" w:rsidRPr="00255968">
        <w:rPr>
          <w:rFonts w:ascii="Source Sans Pro" w:hAnsi="Source Sans Pro" w:cstheme="minorHAnsi"/>
          <w:sz w:val="24"/>
          <w:szCs w:val="24"/>
        </w:rPr>
        <w:t xml:space="preserve"> i Sparebanken Øst for 202</w:t>
      </w:r>
      <w:r w:rsidR="000D4611" w:rsidRPr="00255968">
        <w:rPr>
          <w:rFonts w:ascii="Source Sans Pro" w:hAnsi="Source Sans Pro" w:cstheme="minorHAnsi"/>
          <w:sz w:val="24"/>
          <w:szCs w:val="24"/>
        </w:rPr>
        <w:t>0</w:t>
      </w:r>
      <w:r w:rsidR="00B51937" w:rsidRPr="00255968">
        <w:rPr>
          <w:rFonts w:ascii="Source Sans Pro" w:hAnsi="Source Sans Pro" w:cstheme="minorHAnsi"/>
          <w:sz w:val="24"/>
          <w:szCs w:val="24"/>
        </w:rPr>
        <w:t xml:space="preserve"> og 202</w:t>
      </w:r>
      <w:r w:rsidR="000D4611" w:rsidRPr="00255968">
        <w:rPr>
          <w:rFonts w:ascii="Source Sans Pro" w:hAnsi="Source Sans Pro" w:cstheme="minorHAnsi"/>
          <w:sz w:val="24"/>
          <w:szCs w:val="24"/>
        </w:rPr>
        <w:t>1</w:t>
      </w:r>
      <w:r w:rsidR="006A2A42" w:rsidRPr="00255968">
        <w:rPr>
          <w:rFonts w:ascii="Source Sans Pro" w:hAnsi="Source Sans Pro" w:cstheme="minorHAnsi"/>
          <w:sz w:val="24"/>
          <w:szCs w:val="24"/>
        </w:rPr>
        <w:t>.</w:t>
      </w:r>
      <w:r w:rsidR="00440A10" w:rsidRPr="00255968">
        <w:rPr>
          <w:rFonts w:ascii="Source Sans Pro" w:hAnsi="Source Sans Pro" w:cstheme="minorHAnsi"/>
          <w:sz w:val="24"/>
          <w:szCs w:val="24"/>
        </w:rPr>
        <w:t xml:space="preserve"> </w:t>
      </w:r>
      <w:r w:rsidR="00096E1F" w:rsidRPr="00255968">
        <w:rPr>
          <w:rFonts w:ascii="Source Sans Pro" w:hAnsi="Source Sans Pro" w:cstheme="minorHAnsi"/>
          <w:sz w:val="24"/>
          <w:szCs w:val="24"/>
        </w:rPr>
        <w:br/>
      </w:r>
      <w:r w:rsidR="00BD228F" w:rsidRPr="00255968">
        <w:rPr>
          <w:rFonts w:ascii="Source Sans Pro" w:hAnsi="Source Sans Pro"/>
          <w:noProof/>
          <w:lang w:eastAsia="zh-CN" w:bidi="mn-Mong-CN"/>
        </w:rPr>
        <w:drawing>
          <wp:inline distT="0" distB="0" distL="0" distR="0" wp14:anchorId="31A732C6" wp14:editId="63471F27">
            <wp:extent cx="8892540" cy="2996465"/>
            <wp:effectExtent l="0" t="0" r="381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2996465"/>
                    </a:xfrm>
                    <a:prstGeom prst="rect">
                      <a:avLst/>
                    </a:prstGeom>
                    <a:noFill/>
                    <a:ln>
                      <a:noFill/>
                    </a:ln>
                  </pic:spPr>
                </pic:pic>
              </a:graphicData>
            </a:graphic>
          </wp:inline>
        </w:drawing>
      </w:r>
      <w:r w:rsidR="00F46A23" w:rsidRPr="00255968">
        <w:rPr>
          <w:rFonts w:ascii="Source Sans Pro" w:hAnsi="Source Sans Pro" w:cstheme="minorHAnsi"/>
          <w:sz w:val="24"/>
          <w:szCs w:val="24"/>
        </w:rPr>
        <w:br/>
      </w:r>
      <w:r w:rsidR="00F46A23" w:rsidRPr="00255968">
        <w:rPr>
          <w:rFonts w:ascii="Source Sans Pro" w:hAnsi="Source Sans Pro" w:cstheme="minorHAnsi"/>
          <w:sz w:val="16"/>
          <w:szCs w:val="16"/>
          <w:vertAlign w:val="superscript"/>
        </w:rPr>
        <w:t xml:space="preserve">1 For ledende personer som er ansatt eller sluttet midt i året er ytelsene </w:t>
      </w:r>
      <w:r w:rsidR="003A14AD" w:rsidRPr="00255968">
        <w:rPr>
          <w:rFonts w:ascii="Source Sans Pro" w:hAnsi="Source Sans Pro" w:cstheme="minorHAnsi"/>
          <w:sz w:val="16"/>
          <w:szCs w:val="16"/>
          <w:vertAlign w:val="superscript"/>
        </w:rPr>
        <w:t xml:space="preserve">annualisert. </w:t>
      </w:r>
    </w:p>
    <w:p w14:paraId="31C1A93B" w14:textId="77777777" w:rsidR="000F14A1" w:rsidRPr="00255968" w:rsidRDefault="003A14AD" w:rsidP="00B51937">
      <w:pPr>
        <w:rPr>
          <w:rFonts w:ascii="Source Sans Pro" w:hAnsi="Source Sans Pro" w:cstheme="minorHAnsi"/>
          <w:sz w:val="16"/>
          <w:szCs w:val="16"/>
          <w:vertAlign w:val="superscript"/>
        </w:rPr>
      </w:pPr>
      <w:r w:rsidRPr="00255968">
        <w:rPr>
          <w:rFonts w:ascii="Source Sans Pro" w:hAnsi="Source Sans Pro" w:cstheme="minorHAnsi"/>
          <w:sz w:val="16"/>
          <w:szCs w:val="16"/>
          <w:vertAlign w:val="superscript"/>
        </w:rPr>
        <w:t>2</w:t>
      </w:r>
      <w:r w:rsidR="00F46A23" w:rsidRPr="00255968">
        <w:rPr>
          <w:rFonts w:ascii="Source Sans Pro" w:hAnsi="Source Sans Pro" w:cstheme="minorHAnsi"/>
          <w:sz w:val="16"/>
          <w:szCs w:val="16"/>
          <w:vertAlign w:val="superscript"/>
        </w:rPr>
        <w:t xml:space="preserve"> Engangstillegg i høyere stilling</w:t>
      </w:r>
      <w:r w:rsidRPr="00255968">
        <w:rPr>
          <w:rFonts w:ascii="Source Sans Pro" w:hAnsi="Source Sans Pro" w:cstheme="minorHAnsi"/>
          <w:sz w:val="16"/>
          <w:szCs w:val="16"/>
          <w:vertAlign w:val="superscript"/>
        </w:rPr>
        <w:t xml:space="preserve">. </w:t>
      </w:r>
    </w:p>
    <w:p w14:paraId="6D861D77" w14:textId="77777777" w:rsidR="00B51937" w:rsidRPr="00255968" w:rsidRDefault="00F46A23" w:rsidP="00B51937">
      <w:pPr>
        <w:rPr>
          <w:rFonts w:ascii="Source Sans Pro" w:hAnsi="Source Sans Pro" w:cstheme="minorHAnsi"/>
          <w:sz w:val="16"/>
          <w:szCs w:val="16"/>
        </w:rPr>
      </w:pPr>
      <w:r w:rsidRPr="00255968">
        <w:rPr>
          <w:rFonts w:ascii="Source Sans Pro" w:hAnsi="Source Sans Pro" w:cstheme="minorHAnsi"/>
          <w:sz w:val="16"/>
          <w:szCs w:val="16"/>
          <w:vertAlign w:val="superscript"/>
        </w:rPr>
        <w:t>3 For ledende personer med ytelsespensjon oppgis pensjonspremien betalt i året. For ytelsesbaserte pensjonsordninger vil en økning i lønn gi en høy engangspremie.</w:t>
      </w:r>
      <w:r w:rsidR="00647740" w:rsidRPr="00255968">
        <w:rPr>
          <w:rFonts w:ascii="Source Sans Pro" w:hAnsi="Source Sans Pro" w:cstheme="minorHAnsi"/>
          <w:sz w:val="16"/>
          <w:szCs w:val="16"/>
          <w:vertAlign w:val="superscript"/>
        </w:rPr>
        <w:br/>
        <w:t>4 Viseadministrerende direktør Kjell Engen hadde i 2021 en stillingsbrøk på 61 %</w:t>
      </w:r>
    </w:p>
    <w:p w14:paraId="4D2540B0" w14:textId="709B3EF8" w:rsidR="00EA46BD" w:rsidRPr="00255968" w:rsidRDefault="00BD228F" w:rsidP="00B51937">
      <w:pPr>
        <w:rPr>
          <w:rFonts w:ascii="Source Sans Pro" w:hAnsi="Source Sans Pro" w:cstheme="minorHAnsi"/>
          <w:sz w:val="24"/>
          <w:szCs w:val="24"/>
        </w:rPr>
      </w:pPr>
      <w:r w:rsidRPr="00255968">
        <w:rPr>
          <w:rFonts w:ascii="Source Sans Pro" w:hAnsi="Source Sans Pro"/>
          <w:noProof/>
          <w:lang w:eastAsia="zh-CN" w:bidi="mn-Mong-CN"/>
        </w:rPr>
        <w:drawing>
          <wp:inline distT="0" distB="0" distL="0" distR="0" wp14:anchorId="334ECC17" wp14:editId="60A11423">
            <wp:extent cx="8892540" cy="2326762"/>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2326762"/>
                    </a:xfrm>
                    <a:prstGeom prst="rect">
                      <a:avLst/>
                    </a:prstGeom>
                    <a:noFill/>
                    <a:ln>
                      <a:noFill/>
                    </a:ln>
                  </pic:spPr>
                </pic:pic>
              </a:graphicData>
            </a:graphic>
          </wp:inline>
        </w:drawing>
      </w:r>
    </w:p>
    <w:p w14:paraId="4749A272" w14:textId="200CBE8E" w:rsidR="007759D7" w:rsidRDefault="004208A0" w:rsidP="00400D78">
      <w:pPr>
        <w:rPr>
          <w:rFonts w:ascii="Source Sans Pro" w:hAnsi="Source Sans Pro" w:cstheme="minorHAnsi"/>
          <w:b/>
          <w:color w:val="002E4A"/>
          <w:sz w:val="24"/>
          <w:szCs w:val="24"/>
        </w:rPr>
        <w:sectPr w:rsidR="007759D7" w:rsidSect="007759D7">
          <w:type w:val="continuous"/>
          <w:pgSz w:w="16838" w:h="11906" w:orient="landscape"/>
          <w:pgMar w:top="1417" w:right="1417" w:bottom="1417" w:left="1417" w:header="708" w:footer="708" w:gutter="0"/>
          <w:cols w:space="708"/>
          <w:docGrid w:linePitch="272"/>
        </w:sectPr>
      </w:pPr>
      <w:r w:rsidRPr="00255968">
        <w:rPr>
          <w:rFonts w:ascii="Source Sans Pro" w:hAnsi="Source Sans Pro" w:cstheme="minorHAnsi"/>
          <w:sz w:val="24"/>
          <w:szCs w:val="24"/>
        </w:rPr>
        <w:br/>
      </w:r>
    </w:p>
    <w:p w14:paraId="4CED7FCC" w14:textId="77777777" w:rsidR="00400D78" w:rsidRDefault="00400D78" w:rsidP="00400D78">
      <w:pPr>
        <w:rPr>
          <w:rFonts w:ascii="Source Sans Pro" w:hAnsi="Source Sans Pro" w:cstheme="minorHAnsi"/>
          <w:b/>
          <w:color w:val="002E4A"/>
          <w:sz w:val="24"/>
          <w:szCs w:val="24"/>
        </w:rPr>
      </w:pPr>
    </w:p>
    <w:p w14:paraId="3AA3E829" w14:textId="77777777" w:rsidR="00400D78" w:rsidRDefault="00400D78" w:rsidP="00400D78">
      <w:pPr>
        <w:rPr>
          <w:rFonts w:ascii="Source Sans Pro" w:hAnsi="Source Sans Pro" w:cstheme="minorHAnsi"/>
          <w:b/>
          <w:color w:val="002E4A"/>
          <w:sz w:val="24"/>
          <w:szCs w:val="24"/>
        </w:rPr>
      </w:pPr>
    </w:p>
    <w:p w14:paraId="4057A00B" w14:textId="77777777" w:rsidR="00400D78" w:rsidRDefault="00400D78" w:rsidP="00400D78">
      <w:pPr>
        <w:rPr>
          <w:rFonts w:ascii="Source Sans Pro" w:hAnsi="Source Sans Pro" w:cstheme="minorHAnsi"/>
          <w:b/>
          <w:color w:val="002E4A"/>
          <w:sz w:val="24"/>
          <w:szCs w:val="24"/>
        </w:rPr>
      </w:pPr>
    </w:p>
    <w:p w14:paraId="738CD891" w14:textId="77777777" w:rsidR="00400D78" w:rsidRDefault="00400D78" w:rsidP="00400D78">
      <w:pPr>
        <w:rPr>
          <w:rFonts w:ascii="Source Sans Pro" w:hAnsi="Source Sans Pro" w:cstheme="minorHAnsi"/>
          <w:b/>
          <w:color w:val="002E4A"/>
          <w:sz w:val="24"/>
          <w:szCs w:val="24"/>
        </w:rPr>
      </w:pPr>
    </w:p>
    <w:p w14:paraId="37A59E87" w14:textId="77777777" w:rsidR="00400D78" w:rsidRDefault="00400D78" w:rsidP="00400D78">
      <w:pPr>
        <w:rPr>
          <w:rFonts w:ascii="Source Sans Pro" w:hAnsi="Source Sans Pro" w:cstheme="minorHAnsi"/>
          <w:b/>
          <w:color w:val="002E4A"/>
          <w:sz w:val="24"/>
          <w:szCs w:val="24"/>
        </w:rPr>
      </w:pPr>
    </w:p>
    <w:p w14:paraId="6E3334FC" w14:textId="77777777" w:rsidR="00400D78" w:rsidRDefault="00400D78" w:rsidP="00400D78">
      <w:pPr>
        <w:rPr>
          <w:rFonts w:ascii="Source Sans Pro" w:hAnsi="Source Sans Pro" w:cstheme="minorHAnsi"/>
          <w:b/>
          <w:color w:val="002E4A"/>
          <w:sz w:val="24"/>
          <w:szCs w:val="24"/>
        </w:rPr>
      </w:pPr>
    </w:p>
    <w:p w14:paraId="5E430ABC" w14:textId="77777777" w:rsidR="00400D78" w:rsidRDefault="00400D78" w:rsidP="00400D78">
      <w:pPr>
        <w:rPr>
          <w:rFonts w:ascii="Source Sans Pro" w:hAnsi="Source Sans Pro" w:cstheme="minorHAnsi"/>
          <w:b/>
          <w:color w:val="002E4A"/>
          <w:sz w:val="24"/>
          <w:szCs w:val="24"/>
        </w:rPr>
      </w:pPr>
    </w:p>
    <w:p w14:paraId="50A42CFD" w14:textId="77777777" w:rsidR="00400D78" w:rsidRDefault="00400D78" w:rsidP="00400D78">
      <w:pPr>
        <w:rPr>
          <w:rFonts w:ascii="Source Sans Pro" w:hAnsi="Source Sans Pro" w:cstheme="minorHAnsi"/>
          <w:b/>
          <w:color w:val="002E4A"/>
          <w:sz w:val="24"/>
          <w:szCs w:val="24"/>
        </w:rPr>
      </w:pPr>
    </w:p>
    <w:p w14:paraId="45941DED" w14:textId="77777777" w:rsidR="00400D78" w:rsidRDefault="00400D78" w:rsidP="00400D78">
      <w:pPr>
        <w:rPr>
          <w:rFonts w:ascii="Source Sans Pro" w:hAnsi="Source Sans Pro" w:cstheme="minorHAnsi"/>
          <w:b/>
          <w:color w:val="002E4A"/>
          <w:sz w:val="24"/>
          <w:szCs w:val="24"/>
        </w:rPr>
      </w:pPr>
    </w:p>
    <w:p w14:paraId="5A20F14E" w14:textId="77777777" w:rsidR="00400D78" w:rsidRDefault="00400D78" w:rsidP="00400D78">
      <w:pPr>
        <w:rPr>
          <w:rFonts w:ascii="Source Sans Pro" w:hAnsi="Source Sans Pro" w:cstheme="minorHAnsi"/>
          <w:b/>
          <w:color w:val="002E4A"/>
          <w:sz w:val="24"/>
          <w:szCs w:val="24"/>
        </w:rPr>
      </w:pPr>
    </w:p>
    <w:p w14:paraId="2896CA9E" w14:textId="77777777" w:rsidR="00400D78" w:rsidRDefault="00400D78" w:rsidP="00400D78">
      <w:pPr>
        <w:rPr>
          <w:rFonts w:ascii="Source Sans Pro" w:hAnsi="Source Sans Pro" w:cstheme="minorHAnsi"/>
          <w:b/>
          <w:color w:val="002E4A"/>
          <w:sz w:val="24"/>
          <w:szCs w:val="24"/>
        </w:rPr>
      </w:pPr>
    </w:p>
    <w:p w14:paraId="2CE46B6F" w14:textId="77777777" w:rsidR="00400D78" w:rsidRDefault="00400D78" w:rsidP="00400D78">
      <w:pPr>
        <w:rPr>
          <w:rFonts w:ascii="Source Sans Pro" w:hAnsi="Source Sans Pro" w:cstheme="minorHAnsi"/>
          <w:b/>
          <w:color w:val="002E4A"/>
          <w:sz w:val="24"/>
          <w:szCs w:val="24"/>
        </w:rPr>
      </w:pPr>
    </w:p>
    <w:p w14:paraId="4A542B94" w14:textId="77777777" w:rsidR="00400D78" w:rsidRDefault="00400D78" w:rsidP="00400D78">
      <w:pPr>
        <w:rPr>
          <w:rFonts w:ascii="Source Sans Pro" w:hAnsi="Source Sans Pro" w:cstheme="minorHAnsi"/>
          <w:b/>
          <w:color w:val="002E4A"/>
          <w:sz w:val="24"/>
          <w:szCs w:val="24"/>
        </w:rPr>
      </w:pPr>
    </w:p>
    <w:p w14:paraId="3786B462" w14:textId="77777777" w:rsidR="00400D78" w:rsidRDefault="00400D78" w:rsidP="00400D78">
      <w:pPr>
        <w:rPr>
          <w:rFonts w:ascii="Source Sans Pro" w:hAnsi="Source Sans Pro" w:cstheme="minorHAnsi"/>
          <w:b/>
          <w:color w:val="002E4A"/>
          <w:sz w:val="24"/>
          <w:szCs w:val="24"/>
        </w:rPr>
      </w:pPr>
    </w:p>
    <w:p w14:paraId="6DAA52D0" w14:textId="77777777" w:rsidR="00400D78" w:rsidRDefault="00400D78" w:rsidP="00400D78">
      <w:pPr>
        <w:rPr>
          <w:rFonts w:ascii="Source Sans Pro" w:hAnsi="Source Sans Pro" w:cstheme="minorHAnsi"/>
          <w:b/>
          <w:color w:val="002E4A"/>
          <w:sz w:val="24"/>
          <w:szCs w:val="24"/>
        </w:rPr>
      </w:pPr>
    </w:p>
    <w:p w14:paraId="14FA396B" w14:textId="77777777" w:rsidR="00400D78" w:rsidRDefault="00400D78" w:rsidP="00400D78">
      <w:pPr>
        <w:rPr>
          <w:rFonts w:ascii="Source Sans Pro" w:hAnsi="Source Sans Pro" w:cstheme="minorHAnsi"/>
          <w:b/>
          <w:color w:val="002E4A"/>
          <w:sz w:val="24"/>
          <w:szCs w:val="24"/>
        </w:rPr>
      </w:pPr>
    </w:p>
    <w:p w14:paraId="68DDE3E4" w14:textId="77777777" w:rsidR="00400D78" w:rsidRDefault="00400D78" w:rsidP="00400D78">
      <w:pPr>
        <w:rPr>
          <w:rFonts w:ascii="Source Sans Pro" w:hAnsi="Source Sans Pro" w:cstheme="minorHAnsi"/>
          <w:b/>
          <w:color w:val="002E4A"/>
          <w:sz w:val="24"/>
          <w:szCs w:val="24"/>
        </w:rPr>
      </w:pPr>
    </w:p>
    <w:p w14:paraId="6CEFB05C" w14:textId="77777777" w:rsidR="00400D78" w:rsidRDefault="00400D78" w:rsidP="00400D78">
      <w:pPr>
        <w:rPr>
          <w:rFonts w:ascii="Source Sans Pro" w:hAnsi="Source Sans Pro" w:cstheme="minorHAnsi"/>
          <w:b/>
          <w:color w:val="002E4A"/>
          <w:sz w:val="24"/>
          <w:szCs w:val="24"/>
        </w:rPr>
      </w:pPr>
    </w:p>
    <w:p w14:paraId="2162BB61" w14:textId="77777777" w:rsidR="00400D78" w:rsidRDefault="00400D78" w:rsidP="00400D78">
      <w:pPr>
        <w:rPr>
          <w:rFonts w:ascii="Source Sans Pro" w:hAnsi="Source Sans Pro" w:cstheme="minorHAnsi"/>
          <w:b/>
          <w:color w:val="002E4A"/>
          <w:sz w:val="24"/>
          <w:szCs w:val="24"/>
        </w:rPr>
      </w:pPr>
    </w:p>
    <w:p w14:paraId="50D0565D" w14:textId="77777777" w:rsidR="00400D78" w:rsidRDefault="00400D78" w:rsidP="00400D78">
      <w:pPr>
        <w:rPr>
          <w:rFonts w:ascii="Source Sans Pro" w:hAnsi="Source Sans Pro" w:cstheme="minorHAnsi"/>
          <w:b/>
          <w:color w:val="002E4A"/>
          <w:sz w:val="24"/>
          <w:szCs w:val="24"/>
        </w:rPr>
      </w:pPr>
    </w:p>
    <w:p w14:paraId="70F5B24B" w14:textId="77777777" w:rsidR="00400D78" w:rsidRDefault="00400D78" w:rsidP="00400D78">
      <w:pPr>
        <w:rPr>
          <w:rFonts w:ascii="Source Sans Pro" w:hAnsi="Source Sans Pro" w:cstheme="minorHAnsi"/>
          <w:b/>
          <w:color w:val="002E4A"/>
          <w:sz w:val="24"/>
          <w:szCs w:val="24"/>
        </w:rPr>
      </w:pPr>
    </w:p>
    <w:p w14:paraId="4F9B1560" w14:textId="77777777" w:rsidR="00400D78" w:rsidRDefault="00400D78" w:rsidP="00400D78">
      <w:pPr>
        <w:rPr>
          <w:rFonts w:ascii="Source Sans Pro" w:hAnsi="Source Sans Pro" w:cstheme="minorHAnsi"/>
          <w:b/>
          <w:color w:val="002E4A"/>
          <w:sz w:val="24"/>
          <w:szCs w:val="24"/>
        </w:rPr>
      </w:pPr>
    </w:p>
    <w:p w14:paraId="7FC1542C" w14:textId="77777777" w:rsidR="00400D78" w:rsidRDefault="00400D78" w:rsidP="00400D78">
      <w:pPr>
        <w:rPr>
          <w:rFonts w:ascii="Source Sans Pro" w:hAnsi="Source Sans Pro" w:cstheme="minorHAnsi"/>
          <w:b/>
          <w:color w:val="002E4A"/>
          <w:sz w:val="24"/>
          <w:szCs w:val="24"/>
        </w:rPr>
      </w:pPr>
    </w:p>
    <w:p w14:paraId="1D1FC927" w14:textId="77777777" w:rsidR="00400D78" w:rsidRDefault="00400D78" w:rsidP="00400D78">
      <w:pPr>
        <w:rPr>
          <w:rFonts w:ascii="Source Sans Pro" w:hAnsi="Source Sans Pro" w:cstheme="minorHAnsi"/>
          <w:b/>
          <w:color w:val="002E4A"/>
          <w:sz w:val="24"/>
          <w:szCs w:val="24"/>
        </w:rPr>
      </w:pPr>
    </w:p>
    <w:p w14:paraId="29E434F1" w14:textId="77777777" w:rsidR="00400D78" w:rsidRDefault="00400D78" w:rsidP="00400D78">
      <w:pPr>
        <w:rPr>
          <w:rFonts w:ascii="Source Sans Pro" w:hAnsi="Source Sans Pro" w:cstheme="minorHAnsi"/>
          <w:b/>
          <w:color w:val="002E4A"/>
          <w:sz w:val="24"/>
          <w:szCs w:val="24"/>
        </w:rPr>
      </w:pPr>
    </w:p>
    <w:p w14:paraId="30430CEE" w14:textId="77777777" w:rsidR="00400D78" w:rsidRDefault="00400D78" w:rsidP="00400D78">
      <w:pPr>
        <w:rPr>
          <w:rFonts w:ascii="Source Sans Pro" w:hAnsi="Source Sans Pro" w:cstheme="minorHAnsi"/>
          <w:b/>
          <w:color w:val="002E4A"/>
          <w:sz w:val="24"/>
          <w:szCs w:val="24"/>
        </w:rPr>
      </w:pPr>
    </w:p>
    <w:p w14:paraId="223959DD" w14:textId="77777777" w:rsidR="00400D78" w:rsidRDefault="00400D78" w:rsidP="00400D78">
      <w:pPr>
        <w:rPr>
          <w:rFonts w:ascii="Source Sans Pro" w:hAnsi="Source Sans Pro" w:cstheme="minorHAnsi"/>
          <w:b/>
          <w:color w:val="002E4A"/>
          <w:sz w:val="24"/>
          <w:szCs w:val="24"/>
        </w:rPr>
      </w:pPr>
    </w:p>
    <w:p w14:paraId="71105DBB" w14:textId="77777777" w:rsidR="00400D78" w:rsidRDefault="00400D78" w:rsidP="00400D78">
      <w:pPr>
        <w:rPr>
          <w:rFonts w:ascii="Source Sans Pro" w:hAnsi="Source Sans Pro" w:cstheme="minorHAnsi"/>
          <w:b/>
          <w:color w:val="002E4A"/>
          <w:sz w:val="24"/>
          <w:szCs w:val="24"/>
        </w:rPr>
      </w:pPr>
    </w:p>
    <w:p w14:paraId="5140C65C" w14:textId="77777777" w:rsidR="00400D78" w:rsidRDefault="00400D78" w:rsidP="00400D78">
      <w:pPr>
        <w:rPr>
          <w:rFonts w:ascii="Source Sans Pro" w:hAnsi="Source Sans Pro" w:cstheme="minorHAnsi"/>
          <w:b/>
          <w:color w:val="002E4A"/>
          <w:sz w:val="24"/>
          <w:szCs w:val="24"/>
        </w:rPr>
      </w:pPr>
    </w:p>
    <w:p w14:paraId="2D09887E" w14:textId="77777777" w:rsidR="00400D78" w:rsidRDefault="00400D78" w:rsidP="00400D78">
      <w:pPr>
        <w:rPr>
          <w:rFonts w:ascii="Source Sans Pro" w:hAnsi="Source Sans Pro" w:cstheme="minorHAnsi"/>
          <w:b/>
          <w:color w:val="002E4A"/>
          <w:sz w:val="24"/>
          <w:szCs w:val="24"/>
        </w:rPr>
      </w:pPr>
    </w:p>
    <w:p w14:paraId="52603F0D" w14:textId="53CE5116" w:rsidR="008E340B" w:rsidRPr="00255968" w:rsidRDefault="008E340B" w:rsidP="00400D78">
      <w:pPr>
        <w:rPr>
          <w:rFonts w:ascii="Source Sans Pro" w:hAnsi="Source Sans Pro" w:cstheme="minorHAnsi"/>
          <w:b/>
          <w:sz w:val="24"/>
          <w:szCs w:val="24"/>
        </w:rPr>
      </w:pPr>
      <w:r w:rsidRPr="007759D7">
        <w:rPr>
          <w:rFonts w:ascii="Source Sans Pro" w:hAnsi="Source Sans Pro" w:cstheme="minorHAnsi"/>
          <w:b/>
          <w:color w:val="002E4A"/>
          <w:sz w:val="24"/>
          <w:szCs w:val="24"/>
        </w:rPr>
        <w:t xml:space="preserve">2.1 </w:t>
      </w:r>
      <w:r w:rsidR="00FE6AE6" w:rsidRPr="007759D7">
        <w:rPr>
          <w:rFonts w:ascii="Source Sans Pro" w:hAnsi="Source Sans Pro" w:cstheme="minorHAnsi"/>
          <w:b/>
          <w:color w:val="002E4A"/>
          <w:sz w:val="24"/>
          <w:szCs w:val="24"/>
        </w:rPr>
        <w:t>Fastlønn</w:t>
      </w:r>
      <w:r w:rsidR="00826F4A" w:rsidRPr="007759D7">
        <w:rPr>
          <w:rFonts w:ascii="Source Sans Pro" w:hAnsi="Source Sans Pro" w:cstheme="minorHAnsi"/>
          <w:b/>
          <w:color w:val="002E4A"/>
          <w:sz w:val="24"/>
          <w:szCs w:val="24"/>
        </w:rPr>
        <w:t xml:space="preserve"> og generelle ordninger</w:t>
      </w:r>
    </w:p>
    <w:p w14:paraId="515FB33C" w14:textId="77777777" w:rsidR="00A42C09" w:rsidRPr="00255968" w:rsidRDefault="00FE6AE6" w:rsidP="008E340B">
      <w:pPr>
        <w:rPr>
          <w:rFonts w:ascii="Source Sans Pro" w:hAnsi="Source Sans Pro" w:cstheme="minorHAnsi"/>
          <w:sz w:val="24"/>
          <w:szCs w:val="24"/>
        </w:rPr>
      </w:pPr>
      <w:r w:rsidRPr="00255968">
        <w:rPr>
          <w:rFonts w:ascii="Source Sans Pro" w:hAnsi="Source Sans Pro" w:cstheme="minorHAnsi"/>
          <w:b/>
          <w:sz w:val="24"/>
          <w:szCs w:val="24"/>
        </w:rPr>
        <w:br/>
      </w:r>
      <w:r w:rsidRPr="00255968">
        <w:rPr>
          <w:rFonts w:ascii="Source Sans Pro" w:hAnsi="Source Sans Pro" w:cstheme="minorHAnsi"/>
          <w:sz w:val="24"/>
          <w:szCs w:val="24"/>
        </w:rPr>
        <w:t>Fastlønn utgjør hoved</w:t>
      </w:r>
      <w:r w:rsidR="008E340B" w:rsidRPr="00255968">
        <w:rPr>
          <w:rFonts w:ascii="Source Sans Pro" w:hAnsi="Source Sans Pro" w:cstheme="minorHAnsi"/>
          <w:sz w:val="24"/>
          <w:szCs w:val="24"/>
        </w:rPr>
        <w:t>inntekten</w:t>
      </w:r>
      <w:r w:rsidRPr="00255968">
        <w:rPr>
          <w:rFonts w:ascii="Source Sans Pro" w:hAnsi="Source Sans Pro" w:cstheme="minorHAnsi"/>
          <w:sz w:val="24"/>
          <w:szCs w:val="24"/>
        </w:rPr>
        <w:t xml:space="preserve"> til alle ansatte i Sparebanken Øst. Godtgjørelse utover fastlønn utgjør derfor en liten del av den ansattes inntekt. Dette gjelder også ledende personer. </w:t>
      </w:r>
    </w:p>
    <w:p w14:paraId="5F6BD2A5" w14:textId="77777777" w:rsidR="00812F8E" w:rsidRPr="00255968" w:rsidRDefault="00812F8E" w:rsidP="00812F8E">
      <w:pPr>
        <w:rPr>
          <w:rFonts w:ascii="Source Sans Pro" w:hAnsi="Source Sans Pro" w:cstheme="minorHAnsi"/>
          <w:sz w:val="24"/>
          <w:szCs w:val="24"/>
        </w:rPr>
      </w:pPr>
    </w:p>
    <w:p w14:paraId="467CF994" w14:textId="77777777" w:rsidR="00826F4A" w:rsidRPr="00255968" w:rsidRDefault="00826F4A" w:rsidP="00826F4A">
      <w:pPr>
        <w:pStyle w:val="Default"/>
        <w:rPr>
          <w:rFonts w:ascii="Source Sans Pro" w:hAnsi="Source Sans Pro" w:cstheme="minorHAnsi"/>
        </w:rPr>
      </w:pPr>
      <w:r w:rsidRPr="00255968">
        <w:rPr>
          <w:rFonts w:ascii="Source Sans Pro" w:hAnsi="Source Sans Pro" w:cstheme="minorHAnsi"/>
        </w:rPr>
        <w:t xml:space="preserve">Sparebanken Øst har en generell overskuddsdeling som gjelder alle ansatte inkludert ledende personer. Overskuddsdelingen kan maksimalt utgjøre halvannen månedslønn. Overskuddsdelingen er styrevedtatt. </w:t>
      </w:r>
      <w:r w:rsidRPr="00255968">
        <w:rPr>
          <w:rFonts w:ascii="Source Sans Pro" w:hAnsi="Source Sans Pro" w:cstheme="minorHAnsi"/>
          <w:color w:val="auto"/>
        </w:rPr>
        <w:t>Ordningen omfattes ikke av godtgjørelsesreglene jamfør Finanstilsynets rundskriv 2/2020.</w:t>
      </w:r>
    </w:p>
    <w:p w14:paraId="1A16F192" w14:textId="1E1F16D4" w:rsidR="007759D7" w:rsidRDefault="00826F4A" w:rsidP="00826F4A">
      <w:pPr>
        <w:pStyle w:val="Default"/>
        <w:rPr>
          <w:rFonts w:ascii="Source Sans Pro" w:hAnsi="Source Sans Pro" w:cstheme="minorHAnsi"/>
          <w:color w:val="auto"/>
        </w:rPr>
        <w:sectPr w:rsidR="007759D7" w:rsidSect="007759D7">
          <w:type w:val="continuous"/>
          <w:pgSz w:w="16838" w:h="11906" w:orient="landscape"/>
          <w:pgMar w:top="1417" w:right="1417" w:bottom="1417" w:left="1417" w:header="708" w:footer="708" w:gutter="0"/>
          <w:cols w:num="2" w:space="708"/>
          <w:docGrid w:linePitch="272"/>
        </w:sectPr>
      </w:pPr>
      <w:r w:rsidRPr="00255968">
        <w:rPr>
          <w:rFonts w:ascii="Source Sans Pro" w:hAnsi="Source Sans Pro" w:cstheme="minorHAnsi"/>
        </w:rPr>
        <w:br/>
      </w:r>
      <w:r w:rsidRPr="00255968">
        <w:rPr>
          <w:rFonts w:ascii="Source Sans Pro" w:hAnsi="Source Sans Pro" w:cstheme="minorHAnsi"/>
          <w:color w:val="auto"/>
        </w:rPr>
        <w:t>Grunnlaget for overskuddsdeling er knyttet opp mot bankens overordnede målsetninger. De to målepunktene som benyttes er egenkapitalrentabilitet og netto vekst utlån i prosent. Disse vektes 50 prosent hver. Den enkeltes overskuddsberegning er ordinær månedslønn for medarbeidere og 1,5 ordinær månedslønn for alle ledere.</w:t>
      </w:r>
      <w:r w:rsidR="009D709A" w:rsidRPr="00255968">
        <w:rPr>
          <w:rFonts w:ascii="Source Sans Pro" w:hAnsi="Source Sans Pro" w:cstheme="minorHAnsi"/>
          <w:color w:val="auto"/>
        </w:rPr>
        <w:t xml:space="preserve"> </w:t>
      </w:r>
    </w:p>
    <w:p w14:paraId="0DDECC58" w14:textId="6EE9CAD3" w:rsidR="00826F4A" w:rsidRPr="00255968" w:rsidRDefault="00826F4A" w:rsidP="00826F4A">
      <w:pPr>
        <w:pStyle w:val="Default"/>
        <w:rPr>
          <w:rFonts w:ascii="Source Sans Pro" w:hAnsi="Source Sans Pro"/>
        </w:rPr>
      </w:pPr>
      <w:r w:rsidRPr="00255968">
        <w:rPr>
          <w:rFonts w:ascii="Source Sans Pro" w:hAnsi="Source Sans Pro" w:cstheme="minorHAnsi"/>
          <w:color w:val="auto"/>
        </w:rPr>
        <w:t>Tabell for ordningens innslagspunkter:</w:t>
      </w:r>
      <w:r w:rsidRPr="00255968">
        <w:rPr>
          <w:rFonts w:ascii="Source Sans Pro" w:hAnsi="Source Sans Pro" w:cstheme="minorHAnsi"/>
        </w:rPr>
        <w:br/>
      </w:r>
      <w:r w:rsidRPr="00255968">
        <w:rPr>
          <w:rFonts w:ascii="Source Sans Pro" w:hAnsi="Source Sans Pro"/>
          <w:noProof/>
          <w:lang w:eastAsia="zh-CN" w:bidi="mn-Mong-CN"/>
        </w:rPr>
        <w:drawing>
          <wp:inline distT="0" distB="0" distL="0" distR="0" wp14:anchorId="442E028E" wp14:editId="3424D369">
            <wp:extent cx="5760720" cy="1188899"/>
            <wp:effectExtent l="0" t="0" r="0" b="0"/>
            <wp:docPr id="3" name="Bilde 3" descr="http://aqsap027/wordpress/wp-content/uploads/OD-2021-1024x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qsap027/wordpress/wp-content/uploads/OD-2021-1024x2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188899"/>
                    </a:xfrm>
                    <a:prstGeom prst="rect">
                      <a:avLst/>
                    </a:prstGeom>
                    <a:noFill/>
                    <a:ln>
                      <a:noFill/>
                    </a:ln>
                  </pic:spPr>
                </pic:pic>
              </a:graphicData>
            </a:graphic>
          </wp:inline>
        </w:drawing>
      </w:r>
      <w:r w:rsidRPr="00255968">
        <w:rPr>
          <w:rFonts w:ascii="Source Sans Pro" w:hAnsi="Source Sans Pro" w:cstheme="minorHAnsi"/>
        </w:rPr>
        <w:br/>
      </w:r>
    </w:p>
    <w:p w14:paraId="0EFA84EF" w14:textId="77777777" w:rsidR="00400D78" w:rsidRDefault="00400D78" w:rsidP="00826F4A">
      <w:pPr>
        <w:rPr>
          <w:rFonts w:ascii="Source Sans Pro" w:hAnsi="Source Sans Pro" w:cstheme="minorHAnsi"/>
          <w:sz w:val="24"/>
          <w:szCs w:val="24"/>
        </w:rPr>
        <w:sectPr w:rsidR="00400D78" w:rsidSect="007759D7">
          <w:type w:val="continuous"/>
          <w:pgSz w:w="16838" w:h="11906" w:orient="landscape"/>
          <w:pgMar w:top="1417" w:right="1417" w:bottom="1417" w:left="1417" w:header="708" w:footer="708" w:gutter="0"/>
          <w:cols w:space="708"/>
          <w:docGrid w:linePitch="272"/>
        </w:sectPr>
      </w:pPr>
    </w:p>
    <w:p w14:paraId="37520BBC" w14:textId="60BEB389" w:rsidR="00826F4A" w:rsidRPr="00255968" w:rsidRDefault="00826F4A" w:rsidP="00826F4A">
      <w:pPr>
        <w:rPr>
          <w:rFonts w:ascii="Source Sans Pro" w:hAnsi="Source Sans Pro" w:cstheme="minorHAnsi"/>
          <w:sz w:val="24"/>
          <w:szCs w:val="24"/>
        </w:rPr>
      </w:pPr>
      <w:r w:rsidRPr="00255968">
        <w:rPr>
          <w:rFonts w:ascii="Source Sans Pro" w:hAnsi="Source Sans Pro" w:cstheme="minorHAnsi"/>
          <w:sz w:val="24"/>
          <w:szCs w:val="24"/>
        </w:rPr>
        <w:t xml:space="preserve">De økonomiske resultatene i 2021 gir en overskuddsdeling på 30 prosent av grunnlaget for den enkeltes overskuddsberegning. Denne kommer til utbetaling i 2022 etter at forstanderskapet vedtar årsregnskapet for 2021. </w:t>
      </w:r>
    </w:p>
    <w:p w14:paraId="6198F4E0" w14:textId="77777777" w:rsidR="00826F4A" w:rsidRPr="00255968" w:rsidRDefault="00826F4A" w:rsidP="00826F4A">
      <w:pPr>
        <w:overflowPunct/>
        <w:autoSpaceDE/>
        <w:autoSpaceDN/>
        <w:adjustRightInd/>
        <w:textAlignment w:val="auto"/>
        <w:rPr>
          <w:rFonts w:ascii="Source Sans Pro" w:hAnsi="Source Sans Pro" w:cstheme="minorHAnsi"/>
          <w:sz w:val="24"/>
          <w:szCs w:val="24"/>
        </w:rPr>
      </w:pPr>
    </w:p>
    <w:p w14:paraId="43F71D73" w14:textId="77777777" w:rsidR="00826F4A" w:rsidRPr="00255968" w:rsidRDefault="00826F4A" w:rsidP="00826F4A">
      <w:pPr>
        <w:rPr>
          <w:rFonts w:ascii="Source Sans Pro" w:hAnsi="Source Sans Pro" w:cstheme="minorHAnsi"/>
          <w:sz w:val="24"/>
          <w:szCs w:val="24"/>
        </w:rPr>
      </w:pPr>
      <w:r w:rsidRPr="00255968">
        <w:rPr>
          <w:rFonts w:ascii="Source Sans Pro" w:hAnsi="Source Sans Pro" w:cstheme="minorHAnsi"/>
          <w:sz w:val="24"/>
          <w:szCs w:val="24"/>
        </w:rPr>
        <w:t>Måloppnåelsen for 2020 ga en overskuddsdeling på 25 prosent av grunnlaget for den enkeltes overskuddsberegning. Denne kom til utbetaling i 2021 etter at forstanderskapet vedtok årsregnskapet for 2020.</w:t>
      </w:r>
    </w:p>
    <w:p w14:paraId="7A31AA14" w14:textId="77777777" w:rsidR="00826F4A" w:rsidRPr="00255968" w:rsidRDefault="00826F4A" w:rsidP="00812F8E">
      <w:pPr>
        <w:rPr>
          <w:rFonts w:ascii="Source Sans Pro" w:hAnsi="Source Sans Pro" w:cstheme="minorHAnsi"/>
          <w:sz w:val="24"/>
          <w:szCs w:val="24"/>
        </w:rPr>
      </w:pPr>
    </w:p>
    <w:p w14:paraId="19E99395" w14:textId="7E4E24F1" w:rsidR="000F14A1" w:rsidRPr="00400D78" w:rsidRDefault="00826F4A" w:rsidP="00812F8E">
      <w:pPr>
        <w:rPr>
          <w:rFonts w:ascii="Source Sans Pro" w:hAnsi="Source Sans Pro" w:cstheme="minorHAnsi"/>
          <w:sz w:val="24"/>
          <w:szCs w:val="24"/>
        </w:rPr>
      </w:pPr>
      <w:r w:rsidRPr="00255968">
        <w:rPr>
          <w:rFonts w:ascii="Source Sans Pro" w:hAnsi="Source Sans Pro" w:cstheme="minorHAnsi"/>
          <w:sz w:val="24"/>
          <w:szCs w:val="24"/>
        </w:rPr>
        <w:t>Det er etablert rammer for et spareprogram i egenkapitalbevis for ansatte i Sparebanken Øst. Programmet er ikke iverksatt i 2021.</w:t>
      </w:r>
    </w:p>
    <w:p w14:paraId="30CF810A" w14:textId="77777777" w:rsidR="00235CD6" w:rsidRPr="007759D7" w:rsidRDefault="008E340B" w:rsidP="00400D78">
      <w:pPr>
        <w:rPr>
          <w:rFonts w:ascii="Source Sans Pro" w:hAnsi="Source Sans Pro" w:cstheme="minorHAnsi"/>
          <w:color w:val="002E4A"/>
          <w:sz w:val="24"/>
          <w:szCs w:val="24"/>
          <w:u w:val="single"/>
        </w:rPr>
      </w:pPr>
      <w:r w:rsidRPr="007759D7">
        <w:rPr>
          <w:rFonts w:ascii="Source Sans Pro" w:hAnsi="Source Sans Pro" w:cstheme="minorHAnsi"/>
          <w:b/>
          <w:color w:val="002E4A"/>
          <w:sz w:val="24"/>
          <w:szCs w:val="24"/>
        </w:rPr>
        <w:t xml:space="preserve">2.2 </w:t>
      </w:r>
      <w:r w:rsidR="00235CD6" w:rsidRPr="007759D7">
        <w:rPr>
          <w:rFonts w:ascii="Source Sans Pro" w:hAnsi="Source Sans Pro" w:cstheme="minorHAnsi"/>
          <w:b/>
          <w:color w:val="002E4A"/>
          <w:sz w:val="24"/>
          <w:szCs w:val="24"/>
        </w:rPr>
        <w:t>Honorarer</w:t>
      </w:r>
    </w:p>
    <w:p w14:paraId="2396222B" w14:textId="77777777" w:rsidR="00812F8E" w:rsidRPr="00255968" w:rsidRDefault="00812F8E" w:rsidP="00812F8E">
      <w:pPr>
        <w:rPr>
          <w:rFonts w:ascii="Source Sans Pro" w:hAnsi="Source Sans Pro" w:cstheme="minorHAnsi"/>
          <w:sz w:val="24"/>
          <w:szCs w:val="24"/>
          <w:u w:val="single"/>
        </w:rPr>
      </w:pPr>
    </w:p>
    <w:p w14:paraId="51A994AD" w14:textId="77777777" w:rsidR="00AA29D2" w:rsidRPr="00255968" w:rsidRDefault="005503EF" w:rsidP="00812F8E">
      <w:pPr>
        <w:rPr>
          <w:rFonts w:ascii="Source Sans Pro" w:hAnsi="Source Sans Pro" w:cstheme="minorHAnsi"/>
          <w:sz w:val="24"/>
          <w:szCs w:val="24"/>
        </w:rPr>
      </w:pPr>
      <w:r w:rsidRPr="00255968">
        <w:rPr>
          <w:rFonts w:ascii="Source Sans Pro" w:hAnsi="Source Sans Pro" w:cstheme="minorHAnsi"/>
          <w:sz w:val="24"/>
          <w:szCs w:val="24"/>
        </w:rPr>
        <w:lastRenderedPageBreak/>
        <w:t xml:space="preserve">For styremedlemmer gis det kun godtgjørelse i form av et fast årlig kronebeløp. </w:t>
      </w:r>
      <w:r w:rsidR="00AA29D2" w:rsidRPr="00255968">
        <w:rPr>
          <w:rFonts w:ascii="Source Sans Pro" w:hAnsi="Source Sans Pro" w:cstheme="minorHAnsi"/>
          <w:sz w:val="24"/>
          <w:szCs w:val="24"/>
        </w:rPr>
        <w:t xml:space="preserve">Møtende varamedlemmer til styret gis godtgjørelse i form av et fast beløp per møte. </w:t>
      </w:r>
    </w:p>
    <w:p w14:paraId="71B98E81" w14:textId="77777777" w:rsidR="00812F8E" w:rsidRPr="00255968" w:rsidRDefault="00812F8E" w:rsidP="00812F8E">
      <w:pPr>
        <w:rPr>
          <w:rFonts w:ascii="Source Sans Pro" w:hAnsi="Source Sans Pro" w:cstheme="minorHAnsi"/>
          <w:sz w:val="24"/>
          <w:szCs w:val="24"/>
        </w:rPr>
      </w:pPr>
    </w:p>
    <w:p w14:paraId="769CED03" w14:textId="77777777" w:rsidR="005B6A35" w:rsidRPr="00255968" w:rsidRDefault="00AA29D2" w:rsidP="00812F8E">
      <w:pPr>
        <w:rPr>
          <w:rFonts w:ascii="Source Sans Pro" w:hAnsi="Source Sans Pro" w:cstheme="minorHAnsi"/>
          <w:sz w:val="24"/>
          <w:szCs w:val="24"/>
        </w:rPr>
      </w:pPr>
      <w:r w:rsidRPr="00255968">
        <w:rPr>
          <w:rFonts w:ascii="Source Sans Pro" w:hAnsi="Source Sans Pro" w:cstheme="minorHAnsi"/>
          <w:sz w:val="24"/>
          <w:szCs w:val="24"/>
        </w:rPr>
        <w:t>Ledende ansatte</w:t>
      </w:r>
      <w:r w:rsidR="005B6A35" w:rsidRPr="00255968">
        <w:rPr>
          <w:rFonts w:ascii="Source Sans Pro" w:hAnsi="Source Sans Pro" w:cstheme="minorHAnsi"/>
          <w:sz w:val="24"/>
          <w:szCs w:val="24"/>
        </w:rPr>
        <w:t xml:space="preserve"> i banken som er valgt inn som tillitsvalgte</w:t>
      </w:r>
      <w:r w:rsidRPr="00255968">
        <w:rPr>
          <w:rFonts w:ascii="Source Sans Pro" w:hAnsi="Source Sans Pro" w:cstheme="minorHAnsi"/>
          <w:sz w:val="24"/>
          <w:szCs w:val="24"/>
        </w:rPr>
        <w:t xml:space="preserve"> </w:t>
      </w:r>
      <w:r w:rsidR="005B6A35" w:rsidRPr="00255968">
        <w:rPr>
          <w:rFonts w:ascii="Source Sans Pro" w:hAnsi="Source Sans Pro" w:cstheme="minorHAnsi"/>
          <w:sz w:val="24"/>
          <w:szCs w:val="24"/>
        </w:rPr>
        <w:t>(styremedlemmer) i bankens datterselskaper, har ikke mottatt særskil</w:t>
      </w:r>
      <w:r w:rsidR="008E340B" w:rsidRPr="00255968">
        <w:rPr>
          <w:rFonts w:ascii="Source Sans Pro" w:hAnsi="Source Sans Pro" w:cstheme="minorHAnsi"/>
          <w:sz w:val="24"/>
          <w:szCs w:val="24"/>
        </w:rPr>
        <w:t>t godtgjørelse for dette vervet.</w:t>
      </w:r>
    </w:p>
    <w:p w14:paraId="7D3D798F" w14:textId="77777777" w:rsidR="00525E2D" w:rsidRPr="00255968" w:rsidRDefault="00525E2D" w:rsidP="00826F4A">
      <w:pPr>
        <w:overflowPunct/>
        <w:autoSpaceDE/>
        <w:autoSpaceDN/>
        <w:adjustRightInd/>
        <w:textAlignment w:val="auto"/>
        <w:rPr>
          <w:rFonts w:ascii="Source Sans Pro" w:hAnsi="Source Sans Pro" w:cstheme="minorHAnsi"/>
          <w:b/>
          <w:sz w:val="24"/>
          <w:szCs w:val="24"/>
        </w:rPr>
      </w:pPr>
    </w:p>
    <w:p w14:paraId="3A6D4B53" w14:textId="77777777" w:rsidR="007744C8" w:rsidRPr="00255968" w:rsidRDefault="007744C8">
      <w:pPr>
        <w:overflowPunct/>
        <w:autoSpaceDE/>
        <w:autoSpaceDN/>
        <w:adjustRightInd/>
        <w:textAlignment w:val="auto"/>
        <w:rPr>
          <w:rFonts w:ascii="Source Sans Pro" w:hAnsi="Source Sans Pro" w:cstheme="minorHAnsi"/>
          <w:b/>
          <w:sz w:val="24"/>
          <w:szCs w:val="24"/>
        </w:rPr>
      </w:pPr>
    </w:p>
    <w:p w14:paraId="0DEF8A0B" w14:textId="77777777" w:rsidR="00B525DA" w:rsidRPr="00255968" w:rsidRDefault="008E340B" w:rsidP="00400D78">
      <w:pPr>
        <w:rPr>
          <w:rFonts w:ascii="Source Sans Pro" w:hAnsi="Source Sans Pro" w:cstheme="minorHAnsi"/>
          <w:sz w:val="24"/>
          <w:szCs w:val="24"/>
          <w:u w:val="single"/>
        </w:rPr>
      </w:pPr>
      <w:r w:rsidRPr="007759D7">
        <w:rPr>
          <w:rFonts w:ascii="Source Sans Pro" w:hAnsi="Source Sans Pro" w:cstheme="minorHAnsi"/>
          <w:b/>
          <w:color w:val="002E4A"/>
          <w:sz w:val="24"/>
          <w:szCs w:val="24"/>
        </w:rPr>
        <w:t xml:space="preserve">2.3 </w:t>
      </w:r>
      <w:r w:rsidR="00812F8E" w:rsidRPr="007759D7">
        <w:rPr>
          <w:rFonts w:ascii="Source Sans Pro" w:hAnsi="Source Sans Pro" w:cstheme="minorHAnsi"/>
          <w:b/>
          <w:color w:val="002E4A"/>
          <w:sz w:val="24"/>
          <w:szCs w:val="24"/>
        </w:rPr>
        <w:t>N</w:t>
      </w:r>
      <w:r w:rsidR="00235CD6" w:rsidRPr="007759D7">
        <w:rPr>
          <w:rFonts w:ascii="Source Sans Pro" w:hAnsi="Source Sans Pro" w:cstheme="minorHAnsi"/>
          <w:b/>
          <w:color w:val="002E4A"/>
          <w:sz w:val="24"/>
          <w:szCs w:val="24"/>
        </w:rPr>
        <w:t>aturalytelser</w:t>
      </w:r>
      <w:r w:rsidR="00235CD6" w:rsidRPr="00255968">
        <w:rPr>
          <w:rFonts w:ascii="Source Sans Pro" w:hAnsi="Source Sans Pro" w:cstheme="minorHAnsi"/>
          <w:b/>
          <w:sz w:val="24"/>
          <w:szCs w:val="24"/>
        </w:rPr>
        <w:br/>
      </w:r>
    </w:p>
    <w:p w14:paraId="398F8823" w14:textId="77777777" w:rsidR="00A42C09" w:rsidRPr="00255968" w:rsidRDefault="00A42C09" w:rsidP="00525E2D">
      <w:pPr>
        <w:rPr>
          <w:rFonts w:ascii="Source Sans Pro" w:hAnsi="Source Sans Pro" w:cstheme="minorHAnsi"/>
          <w:sz w:val="24"/>
          <w:szCs w:val="24"/>
        </w:rPr>
      </w:pPr>
      <w:r w:rsidRPr="00255968">
        <w:rPr>
          <w:rFonts w:ascii="Source Sans Pro" w:hAnsi="Source Sans Pro" w:cstheme="minorHAnsi"/>
          <w:sz w:val="24"/>
          <w:szCs w:val="24"/>
        </w:rPr>
        <w:t xml:space="preserve">Ledende personer i Sparebanken Øst mottok i 2021 naturalytelser </w:t>
      </w:r>
      <w:r w:rsidR="000171A3" w:rsidRPr="00255968">
        <w:rPr>
          <w:rFonts w:ascii="Source Sans Pro" w:hAnsi="Source Sans Pro" w:cstheme="minorHAnsi"/>
          <w:sz w:val="24"/>
          <w:szCs w:val="24"/>
        </w:rPr>
        <w:t xml:space="preserve">i tråd med retningslinjene for ledende personer, herunder </w:t>
      </w:r>
      <w:r w:rsidR="005E5C28" w:rsidRPr="00255968">
        <w:rPr>
          <w:rFonts w:ascii="Source Sans Pro" w:hAnsi="Source Sans Pro" w:cstheme="minorHAnsi"/>
          <w:sz w:val="24"/>
          <w:szCs w:val="24"/>
        </w:rPr>
        <w:t>l</w:t>
      </w:r>
      <w:r w:rsidRPr="00255968">
        <w:rPr>
          <w:rFonts w:ascii="Source Sans Pro" w:hAnsi="Source Sans Pro" w:cstheme="minorHAnsi"/>
          <w:sz w:val="24"/>
          <w:szCs w:val="24"/>
        </w:rPr>
        <w:t>åne-, innskudds- og forsikringsprodukter til ansattbetingelser</w:t>
      </w:r>
      <w:r w:rsidR="005E5C28" w:rsidRPr="00255968">
        <w:rPr>
          <w:rFonts w:ascii="Source Sans Pro" w:hAnsi="Source Sans Pro" w:cstheme="minorHAnsi"/>
          <w:sz w:val="24"/>
          <w:szCs w:val="24"/>
        </w:rPr>
        <w:t>, f</w:t>
      </w:r>
      <w:r w:rsidRPr="00255968">
        <w:rPr>
          <w:rFonts w:ascii="Source Sans Pro" w:hAnsi="Source Sans Pro" w:cstheme="minorHAnsi"/>
          <w:sz w:val="24"/>
          <w:szCs w:val="24"/>
        </w:rPr>
        <w:t>ri telefon og bredbånd</w:t>
      </w:r>
      <w:r w:rsidR="005E5C28" w:rsidRPr="00255968">
        <w:rPr>
          <w:rFonts w:ascii="Source Sans Pro" w:hAnsi="Source Sans Pro" w:cstheme="minorHAnsi"/>
          <w:sz w:val="24"/>
          <w:szCs w:val="24"/>
        </w:rPr>
        <w:t>, a</w:t>
      </w:r>
      <w:r w:rsidRPr="00255968">
        <w:rPr>
          <w:rFonts w:ascii="Source Sans Pro" w:hAnsi="Source Sans Pro" w:cstheme="minorHAnsi"/>
          <w:sz w:val="24"/>
          <w:szCs w:val="24"/>
        </w:rPr>
        <w:t>vis</w:t>
      </w:r>
      <w:r w:rsidR="005E5C28" w:rsidRPr="00255968">
        <w:rPr>
          <w:rFonts w:ascii="Source Sans Pro" w:hAnsi="Source Sans Pro" w:cstheme="minorHAnsi"/>
          <w:sz w:val="24"/>
          <w:szCs w:val="24"/>
        </w:rPr>
        <w:t xml:space="preserve"> og f</w:t>
      </w:r>
      <w:r w:rsidRPr="00255968">
        <w:rPr>
          <w:rFonts w:ascii="Source Sans Pro" w:hAnsi="Source Sans Pro" w:cstheme="minorHAnsi"/>
          <w:sz w:val="24"/>
          <w:szCs w:val="24"/>
        </w:rPr>
        <w:t>irmabil</w:t>
      </w:r>
      <w:r w:rsidR="005E5C28" w:rsidRPr="00255968">
        <w:rPr>
          <w:rFonts w:ascii="Source Sans Pro" w:hAnsi="Source Sans Pro" w:cstheme="minorHAnsi"/>
          <w:sz w:val="24"/>
          <w:szCs w:val="24"/>
        </w:rPr>
        <w:t xml:space="preserve">. </w:t>
      </w:r>
    </w:p>
    <w:p w14:paraId="52666CC6" w14:textId="77777777" w:rsidR="00A42C09" w:rsidRPr="00255968" w:rsidRDefault="00A42C09" w:rsidP="00525E2D">
      <w:pPr>
        <w:ind w:left="720"/>
        <w:rPr>
          <w:rFonts w:ascii="Source Sans Pro" w:hAnsi="Source Sans Pro" w:cstheme="minorHAnsi"/>
          <w:sz w:val="24"/>
          <w:szCs w:val="24"/>
          <w:u w:val="single"/>
        </w:rPr>
      </w:pPr>
    </w:p>
    <w:p w14:paraId="3E67BB66" w14:textId="77777777" w:rsidR="00235CD6" w:rsidRPr="00255968" w:rsidRDefault="00235CD6" w:rsidP="00525E2D">
      <w:pPr>
        <w:rPr>
          <w:rFonts w:ascii="Source Sans Pro" w:hAnsi="Source Sans Pro" w:cstheme="minorHAnsi"/>
          <w:sz w:val="24"/>
          <w:szCs w:val="24"/>
        </w:rPr>
      </w:pPr>
      <w:r w:rsidRPr="00255968">
        <w:rPr>
          <w:rFonts w:ascii="Source Sans Pro" w:hAnsi="Source Sans Pro" w:cstheme="minorHAnsi"/>
          <w:sz w:val="24"/>
          <w:szCs w:val="24"/>
        </w:rPr>
        <w:t>Toppledergruppen og ledende ansatte inngår</w:t>
      </w:r>
      <w:r w:rsidR="00525E2D" w:rsidRPr="00255968">
        <w:rPr>
          <w:rFonts w:ascii="Source Sans Pro" w:hAnsi="Source Sans Pro" w:cstheme="minorHAnsi"/>
          <w:sz w:val="24"/>
          <w:szCs w:val="24"/>
        </w:rPr>
        <w:t xml:space="preserve"> i bankens generelle ordning om </w:t>
      </w:r>
      <w:r w:rsidRPr="00255968">
        <w:rPr>
          <w:rFonts w:ascii="Source Sans Pro" w:hAnsi="Source Sans Pro" w:cstheme="minorHAnsi"/>
          <w:sz w:val="24"/>
          <w:szCs w:val="24"/>
        </w:rPr>
        <w:t>rentesubsidierte lån til ansatte. Rentesatsen er lavere enn den rentesatsen som gir grunnlag for fordelsbeskatning av ansatte. Lånerammen for rentesubsidierte lån har i 2021 vært 5</w:t>
      </w:r>
      <w:r w:rsidR="000171A3" w:rsidRPr="00255968">
        <w:rPr>
          <w:rFonts w:ascii="Source Sans Pro" w:hAnsi="Source Sans Pro" w:cstheme="minorHAnsi"/>
          <w:sz w:val="24"/>
          <w:szCs w:val="24"/>
        </w:rPr>
        <w:t xml:space="preserve"> millioner kroner</w:t>
      </w:r>
      <w:r w:rsidR="000F14A1" w:rsidRPr="00255968">
        <w:rPr>
          <w:rFonts w:ascii="Source Sans Pro" w:hAnsi="Source Sans Pro" w:cstheme="minorHAnsi"/>
          <w:sz w:val="24"/>
          <w:szCs w:val="24"/>
        </w:rPr>
        <w:t>. For administrerende</w:t>
      </w:r>
      <w:r w:rsidRPr="00255968">
        <w:rPr>
          <w:rFonts w:ascii="Source Sans Pro" w:hAnsi="Source Sans Pro" w:cstheme="minorHAnsi"/>
          <w:sz w:val="24"/>
          <w:szCs w:val="24"/>
        </w:rPr>
        <w:t xml:space="preserve"> direktør og viseadm</w:t>
      </w:r>
      <w:r w:rsidR="000F14A1" w:rsidRPr="00255968">
        <w:rPr>
          <w:rFonts w:ascii="Source Sans Pro" w:hAnsi="Source Sans Pro" w:cstheme="minorHAnsi"/>
          <w:sz w:val="24"/>
          <w:szCs w:val="24"/>
        </w:rPr>
        <w:t>inistrerende</w:t>
      </w:r>
      <w:r w:rsidRPr="00255968">
        <w:rPr>
          <w:rFonts w:ascii="Source Sans Pro" w:hAnsi="Source Sans Pro" w:cstheme="minorHAnsi"/>
          <w:sz w:val="24"/>
          <w:szCs w:val="24"/>
        </w:rPr>
        <w:t xml:space="preserve"> direktør er rammen henholdsvis </w:t>
      </w:r>
      <w:r w:rsidR="000171A3" w:rsidRPr="00255968">
        <w:rPr>
          <w:rFonts w:ascii="Source Sans Pro" w:hAnsi="Source Sans Pro" w:cstheme="minorHAnsi"/>
          <w:sz w:val="24"/>
          <w:szCs w:val="24"/>
        </w:rPr>
        <w:t>7 millioner kroner</w:t>
      </w:r>
      <w:r w:rsidRPr="00255968">
        <w:rPr>
          <w:rFonts w:ascii="Source Sans Pro" w:hAnsi="Source Sans Pro" w:cstheme="minorHAnsi"/>
          <w:sz w:val="24"/>
          <w:szCs w:val="24"/>
        </w:rPr>
        <w:t xml:space="preserve"> og 6</w:t>
      </w:r>
      <w:r w:rsidR="000171A3" w:rsidRPr="00255968">
        <w:rPr>
          <w:rFonts w:ascii="Source Sans Pro" w:hAnsi="Source Sans Pro" w:cstheme="minorHAnsi"/>
          <w:sz w:val="24"/>
          <w:szCs w:val="24"/>
        </w:rPr>
        <w:t xml:space="preserve"> millioner kroner</w:t>
      </w:r>
      <w:r w:rsidRPr="00255968">
        <w:rPr>
          <w:rFonts w:ascii="Source Sans Pro" w:hAnsi="Source Sans Pro" w:cstheme="minorHAnsi"/>
          <w:sz w:val="24"/>
          <w:szCs w:val="24"/>
        </w:rPr>
        <w:t xml:space="preserve">. Medlemmer av styret og øvrige kontrollorgan har lån til ordinære vilkår. </w:t>
      </w:r>
    </w:p>
    <w:p w14:paraId="2C8D1F3C" w14:textId="77777777" w:rsidR="00B51937" w:rsidRPr="00255968" w:rsidRDefault="00B51937" w:rsidP="00812F8E">
      <w:pPr>
        <w:rPr>
          <w:rFonts w:ascii="Source Sans Pro" w:hAnsi="Source Sans Pro" w:cstheme="minorHAnsi"/>
          <w:sz w:val="24"/>
          <w:szCs w:val="24"/>
        </w:rPr>
      </w:pPr>
    </w:p>
    <w:p w14:paraId="3CF3F8D8" w14:textId="77777777" w:rsidR="000F14A1" w:rsidRPr="00255968" w:rsidRDefault="000F14A1" w:rsidP="00812F8E">
      <w:pPr>
        <w:rPr>
          <w:rFonts w:ascii="Source Sans Pro" w:hAnsi="Source Sans Pro" w:cstheme="minorHAnsi"/>
          <w:sz w:val="24"/>
          <w:szCs w:val="24"/>
        </w:rPr>
      </w:pPr>
    </w:p>
    <w:p w14:paraId="769E4B36" w14:textId="77777777" w:rsidR="00B525DA" w:rsidRPr="007759D7" w:rsidRDefault="00525E2D" w:rsidP="00400D78">
      <w:pPr>
        <w:rPr>
          <w:rFonts w:ascii="Source Sans Pro" w:hAnsi="Source Sans Pro" w:cstheme="minorHAnsi"/>
          <w:b/>
          <w:color w:val="002E4A"/>
          <w:sz w:val="24"/>
          <w:szCs w:val="24"/>
        </w:rPr>
      </w:pPr>
      <w:r w:rsidRPr="007759D7">
        <w:rPr>
          <w:rFonts w:ascii="Source Sans Pro" w:hAnsi="Source Sans Pro" w:cstheme="minorHAnsi"/>
          <w:b/>
          <w:color w:val="002E4A"/>
          <w:sz w:val="24"/>
          <w:szCs w:val="24"/>
        </w:rPr>
        <w:t>2.</w:t>
      </w:r>
      <w:r w:rsidR="00826F4A" w:rsidRPr="007759D7">
        <w:rPr>
          <w:rFonts w:ascii="Source Sans Pro" w:hAnsi="Source Sans Pro" w:cstheme="minorHAnsi"/>
          <w:b/>
          <w:color w:val="002E4A"/>
          <w:sz w:val="24"/>
          <w:szCs w:val="24"/>
        </w:rPr>
        <w:t>4</w:t>
      </w:r>
      <w:r w:rsidRPr="007759D7">
        <w:rPr>
          <w:rFonts w:ascii="Source Sans Pro" w:hAnsi="Source Sans Pro" w:cstheme="minorHAnsi"/>
          <w:b/>
          <w:color w:val="002E4A"/>
          <w:sz w:val="24"/>
          <w:szCs w:val="24"/>
        </w:rPr>
        <w:t xml:space="preserve"> </w:t>
      </w:r>
      <w:r w:rsidR="005503EF" w:rsidRPr="007759D7">
        <w:rPr>
          <w:rFonts w:ascii="Source Sans Pro" w:hAnsi="Source Sans Pro" w:cstheme="minorHAnsi"/>
          <w:b/>
          <w:color w:val="002E4A"/>
          <w:sz w:val="24"/>
          <w:szCs w:val="24"/>
        </w:rPr>
        <w:t xml:space="preserve">Pensjon </w:t>
      </w:r>
    </w:p>
    <w:p w14:paraId="31B8412B" w14:textId="77777777" w:rsidR="005503EF" w:rsidRPr="00255968" w:rsidRDefault="005503EF" w:rsidP="004208A0">
      <w:pPr>
        <w:ind w:left="720"/>
        <w:rPr>
          <w:rFonts w:ascii="Source Sans Pro" w:hAnsi="Source Sans Pro" w:cstheme="minorHAnsi"/>
          <w:b/>
          <w:sz w:val="24"/>
          <w:szCs w:val="24"/>
        </w:rPr>
      </w:pPr>
    </w:p>
    <w:p w14:paraId="04A8CD7D" w14:textId="77777777" w:rsidR="00FE6AE6" w:rsidRPr="00255968" w:rsidRDefault="00FE6AE6" w:rsidP="00812F8E">
      <w:pPr>
        <w:rPr>
          <w:rFonts w:ascii="Source Sans Pro" w:hAnsi="Source Sans Pro" w:cstheme="minorHAnsi"/>
          <w:sz w:val="24"/>
          <w:szCs w:val="24"/>
        </w:rPr>
      </w:pPr>
      <w:r w:rsidRPr="00255968">
        <w:rPr>
          <w:rFonts w:ascii="Source Sans Pro" w:hAnsi="Source Sans Pro" w:cstheme="minorHAnsi"/>
          <w:sz w:val="24"/>
          <w:szCs w:val="24"/>
        </w:rPr>
        <w:t>Ledende personer i Sparebanken Øst inngår i de kollektive pensjonsordningene med pensjonsalder 70 år og pensjonsgrunnlag begrenset til 12G.</w:t>
      </w:r>
    </w:p>
    <w:p w14:paraId="5ADFF718" w14:textId="77777777" w:rsidR="00FE6AE6" w:rsidRPr="00255968" w:rsidRDefault="00FE6AE6" w:rsidP="00FE6AE6">
      <w:pPr>
        <w:rPr>
          <w:rFonts w:ascii="Source Sans Pro" w:hAnsi="Source Sans Pro" w:cstheme="minorHAnsi"/>
          <w:sz w:val="24"/>
          <w:szCs w:val="24"/>
        </w:rPr>
      </w:pPr>
    </w:p>
    <w:p w14:paraId="5D1746E2" w14:textId="77777777" w:rsidR="00FE6AE6" w:rsidRPr="00255968" w:rsidRDefault="00FE6AE6" w:rsidP="00812F8E">
      <w:pPr>
        <w:rPr>
          <w:rFonts w:ascii="Source Sans Pro" w:hAnsi="Source Sans Pro" w:cstheme="minorHAnsi"/>
          <w:sz w:val="24"/>
          <w:szCs w:val="24"/>
        </w:rPr>
      </w:pPr>
      <w:r w:rsidRPr="00255968">
        <w:rPr>
          <w:rFonts w:ascii="Source Sans Pro" w:hAnsi="Source Sans Pro" w:cstheme="minorHAnsi"/>
          <w:sz w:val="24"/>
          <w:szCs w:val="24"/>
        </w:rPr>
        <w:t>Sparebanken Øst har kollektive ytelsesordninger i Storebrand Livsforsikring AS. Ytelsesordningene er lukkede ordninger. Ledende personer ansatt før 2007 er medlemmer av denne ordningen for lønn opp til 12G.</w:t>
      </w:r>
    </w:p>
    <w:p w14:paraId="61072CE8" w14:textId="77777777" w:rsidR="00FE6AE6" w:rsidRPr="00255968" w:rsidRDefault="00FE6AE6" w:rsidP="00FE6AE6">
      <w:pPr>
        <w:rPr>
          <w:rFonts w:ascii="Source Sans Pro" w:hAnsi="Source Sans Pro" w:cstheme="minorHAnsi"/>
          <w:sz w:val="24"/>
          <w:szCs w:val="24"/>
        </w:rPr>
      </w:pPr>
    </w:p>
    <w:p w14:paraId="6B52B431" w14:textId="77777777" w:rsidR="00FE6AE6" w:rsidRPr="00255968" w:rsidRDefault="00FE6AE6" w:rsidP="00812F8E">
      <w:pPr>
        <w:rPr>
          <w:rFonts w:ascii="Source Sans Pro" w:hAnsi="Source Sans Pro" w:cstheme="minorHAnsi"/>
          <w:sz w:val="24"/>
          <w:szCs w:val="24"/>
        </w:rPr>
      </w:pPr>
      <w:r w:rsidRPr="00255968">
        <w:rPr>
          <w:rFonts w:ascii="Source Sans Pro" w:hAnsi="Source Sans Pro" w:cstheme="minorHAnsi"/>
          <w:sz w:val="24"/>
          <w:szCs w:val="24"/>
        </w:rPr>
        <w:t>Fra 1. januar 2007 innførte Sparebanken Øst en kollektiv innskuddsbasert ordning. Innskuddssatsene er innenfor gjeldende regelverk i Lov om innskuddspensjon i arbeidsforhold. Ledende personer ansatt etter 2007 er medlemmer av denne ordningen for lønn opp til 12G.</w:t>
      </w:r>
    </w:p>
    <w:p w14:paraId="5ED7BBED" w14:textId="77777777" w:rsidR="005503EF" w:rsidRPr="00255968" w:rsidRDefault="005503EF" w:rsidP="004208A0">
      <w:pPr>
        <w:ind w:left="720"/>
        <w:rPr>
          <w:rFonts w:ascii="Source Sans Pro" w:hAnsi="Source Sans Pro" w:cstheme="minorHAnsi"/>
          <w:sz w:val="24"/>
          <w:szCs w:val="24"/>
        </w:rPr>
      </w:pPr>
    </w:p>
    <w:p w14:paraId="15516451" w14:textId="77777777" w:rsidR="00FE6AE6" w:rsidRPr="00255968" w:rsidRDefault="00FE6AE6" w:rsidP="00812F8E">
      <w:pPr>
        <w:rPr>
          <w:rFonts w:ascii="Source Sans Pro" w:hAnsi="Source Sans Pro" w:cstheme="minorHAnsi"/>
          <w:sz w:val="24"/>
          <w:szCs w:val="24"/>
        </w:rPr>
      </w:pPr>
      <w:r w:rsidRPr="00255968">
        <w:rPr>
          <w:rFonts w:ascii="Source Sans Pro" w:hAnsi="Source Sans Pro" w:cstheme="minorHAnsi"/>
          <w:sz w:val="24"/>
          <w:szCs w:val="24"/>
        </w:rPr>
        <w:lastRenderedPageBreak/>
        <w:t>Adm. direktør er medlem av bankens ytelsesbaserte pensjonsordning og opparbeider pensjonsrettigheter på lik linje som øvrige ansatte. Pensjonsalder for adm. direktør er 70 år.</w:t>
      </w:r>
      <w:r w:rsidRPr="00255968">
        <w:rPr>
          <w:rFonts w:ascii="Source Sans Pro" w:hAnsi="Source Sans Pro" w:cstheme="minorHAnsi"/>
          <w:sz w:val="24"/>
          <w:szCs w:val="24"/>
        </w:rPr>
        <w:br/>
      </w:r>
    </w:p>
    <w:p w14:paraId="6E823C82" w14:textId="77777777" w:rsidR="00937079" w:rsidRPr="00255968" w:rsidRDefault="00FE6AE6" w:rsidP="00812F8E">
      <w:pPr>
        <w:rPr>
          <w:rFonts w:ascii="Source Sans Pro" w:hAnsi="Source Sans Pro" w:cstheme="minorHAnsi"/>
          <w:sz w:val="24"/>
          <w:szCs w:val="24"/>
        </w:rPr>
      </w:pPr>
      <w:r w:rsidRPr="00255968">
        <w:rPr>
          <w:rFonts w:ascii="Source Sans Pro" w:hAnsi="Source Sans Pro" w:cstheme="minorHAnsi"/>
          <w:sz w:val="24"/>
          <w:szCs w:val="24"/>
        </w:rPr>
        <w:t>En person i toppledergruppen har innskuddsbasert ordning for lønn over 12G.</w:t>
      </w:r>
    </w:p>
    <w:p w14:paraId="15583333" w14:textId="77777777" w:rsidR="00937079" w:rsidRPr="00255968" w:rsidRDefault="00937079" w:rsidP="004208A0">
      <w:pPr>
        <w:ind w:left="720"/>
        <w:rPr>
          <w:rFonts w:ascii="Source Sans Pro" w:hAnsi="Source Sans Pro" w:cstheme="minorHAnsi"/>
          <w:sz w:val="24"/>
          <w:szCs w:val="24"/>
          <w:u w:val="single"/>
        </w:rPr>
      </w:pPr>
    </w:p>
    <w:p w14:paraId="73B0FB9F" w14:textId="77777777" w:rsidR="00525E2D" w:rsidRPr="00255968" w:rsidRDefault="00525E2D" w:rsidP="004208A0">
      <w:pPr>
        <w:ind w:left="720"/>
        <w:rPr>
          <w:rFonts w:ascii="Source Sans Pro" w:hAnsi="Source Sans Pro" w:cstheme="minorHAnsi"/>
          <w:sz w:val="24"/>
          <w:szCs w:val="24"/>
          <w:u w:val="single"/>
        </w:rPr>
      </w:pPr>
    </w:p>
    <w:p w14:paraId="67B209A1" w14:textId="77777777" w:rsidR="00FE6AE6" w:rsidRPr="007759D7" w:rsidRDefault="00525E2D" w:rsidP="00400D78">
      <w:pPr>
        <w:rPr>
          <w:rFonts w:ascii="Source Sans Pro" w:hAnsi="Source Sans Pro" w:cstheme="minorHAnsi"/>
          <w:b/>
          <w:color w:val="002E4A"/>
          <w:sz w:val="24"/>
          <w:szCs w:val="24"/>
        </w:rPr>
      </w:pPr>
      <w:r w:rsidRPr="007759D7">
        <w:rPr>
          <w:rFonts w:ascii="Source Sans Pro" w:hAnsi="Source Sans Pro" w:cstheme="minorHAnsi"/>
          <w:b/>
          <w:color w:val="002E4A"/>
          <w:sz w:val="24"/>
          <w:szCs w:val="24"/>
        </w:rPr>
        <w:t>2.</w:t>
      </w:r>
      <w:r w:rsidR="00826F4A" w:rsidRPr="007759D7">
        <w:rPr>
          <w:rFonts w:ascii="Source Sans Pro" w:hAnsi="Source Sans Pro" w:cstheme="minorHAnsi"/>
          <w:b/>
          <w:color w:val="002E4A"/>
          <w:sz w:val="24"/>
          <w:szCs w:val="24"/>
        </w:rPr>
        <w:t>5</w:t>
      </w:r>
      <w:r w:rsidRPr="007759D7">
        <w:rPr>
          <w:rFonts w:ascii="Source Sans Pro" w:hAnsi="Source Sans Pro" w:cstheme="minorHAnsi"/>
          <w:b/>
          <w:color w:val="002E4A"/>
          <w:sz w:val="24"/>
          <w:szCs w:val="24"/>
        </w:rPr>
        <w:t xml:space="preserve"> </w:t>
      </w:r>
      <w:r w:rsidR="00FE6AE6" w:rsidRPr="007759D7">
        <w:rPr>
          <w:rFonts w:ascii="Source Sans Pro" w:hAnsi="Source Sans Pro" w:cstheme="minorHAnsi"/>
          <w:b/>
          <w:color w:val="002E4A"/>
          <w:sz w:val="24"/>
          <w:szCs w:val="24"/>
        </w:rPr>
        <w:t>Oppsigelse og etterlønnsordninger</w:t>
      </w:r>
    </w:p>
    <w:p w14:paraId="342863E5" w14:textId="77777777" w:rsidR="00FE6AE6" w:rsidRPr="00255968" w:rsidRDefault="00FE6AE6" w:rsidP="005E5C28">
      <w:pPr>
        <w:ind w:left="720"/>
        <w:rPr>
          <w:rFonts w:ascii="Source Sans Pro" w:hAnsi="Source Sans Pro" w:cstheme="minorHAnsi"/>
          <w:sz w:val="24"/>
          <w:szCs w:val="24"/>
        </w:rPr>
      </w:pPr>
    </w:p>
    <w:p w14:paraId="0C8D0C14" w14:textId="77777777" w:rsidR="00235CD6" w:rsidRPr="00255968" w:rsidRDefault="00FE6AE6" w:rsidP="00812F8E">
      <w:pPr>
        <w:rPr>
          <w:rFonts w:ascii="Source Sans Pro" w:hAnsi="Source Sans Pro" w:cstheme="minorHAnsi"/>
          <w:sz w:val="24"/>
          <w:szCs w:val="24"/>
        </w:rPr>
      </w:pPr>
      <w:r w:rsidRPr="00255968">
        <w:rPr>
          <w:rFonts w:ascii="Source Sans Pro" w:hAnsi="Source Sans Pro" w:cstheme="minorHAnsi"/>
          <w:sz w:val="24"/>
          <w:szCs w:val="24"/>
        </w:rPr>
        <w:t>Ved oppsigelse fra adm. direktørs side inntrer ingen etterlønn ut over avtalt lønn i oppsigelsestid på 6 måneder. Ved oppsigelse fra bankens side har adm. direktør krav på etterlønn i 3 år fra tidspunktet for oppsigelsen, l</w:t>
      </w:r>
      <w:r w:rsidR="00525E2D" w:rsidRPr="00255968">
        <w:rPr>
          <w:rFonts w:ascii="Source Sans Pro" w:hAnsi="Source Sans Pro" w:cstheme="minorHAnsi"/>
          <w:sz w:val="24"/>
          <w:szCs w:val="24"/>
        </w:rPr>
        <w:t xml:space="preserve">ønnsgrunnlaget er årslønnen per </w:t>
      </w:r>
      <w:r w:rsidRPr="00255968">
        <w:rPr>
          <w:rFonts w:ascii="Source Sans Pro" w:hAnsi="Source Sans Pro" w:cstheme="minorHAnsi"/>
          <w:sz w:val="24"/>
          <w:szCs w:val="24"/>
        </w:rPr>
        <w:t>oppsigelsestidspunktet. Utover dette har ingen ansatte eller tillitsvalgte avtale om sluttvederlag, tegningsretter, opsjoner eller bonusavtale. Det er ikke gitt tilleggsgodtgjørelse til spesielle tjenester utover de normale funksjoner for en leder.</w:t>
      </w:r>
    </w:p>
    <w:p w14:paraId="1A152479" w14:textId="77777777" w:rsidR="00937079" w:rsidRPr="00255968" w:rsidRDefault="00937079" w:rsidP="004208A0">
      <w:pPr>
        <w:ind w:left="720"/>
        <w:rPr>
          <w:rFonts w:ascii="Source Sans Pro" w:hAnsi="Source Sans Pro" w:cstheme="minorHAnsi"/>
          <w:sz w:val="24"/>
          <w:szCs w:val="24"/>
          <w:u w:val="single"/>
        </w:rPr>
      </w:pPr>
    </w:p>
    <w:p w14:paraId="3824FB31" w14:textId="77777777" w:rsidR="00937079" w:rsidRPr="00255968" w:rsidRDefault="00937079" w:rsidP="004208A0">
      <w:pPr>
        <w:ind w:left="720"/>
        <w:rPr>
          <w:rFonts w:ascii="Source Sans Pro" w:hAnsi="Source Sans Pro" w:cstheme="minorHAnsi"/>
          <w:sz w:val="24"/>
          <w:szCs w:val="24"/>
          <w:u w:val="single"/>
        </w:rPr>
      </w:pPr>
    </w:p>
    <w:p w14:paraId="7DC55A58" w14:textId="77777777" w:rsidR="00937079" w:rsidRPr="007759D7" w:rsidRDefault="00937079" w:rsidP="00400D78">
      <w:pPr>
        <w:rPr>
          <w:rFonts w:ascii="Source Sans Pro" w:hAnsi="Source Sans Pro" w:cstheme="minorHAnsi"/>
          <w:b/>
          <w:color w:val="002E4A"/>
          <w:sz w:val="24"/>
          <w:szCs w:val="24"/>
        </w:rPr>
      </w:pPr>
      <w:r w:rsidRPr="007759D7">
        <w:rPr>
          <w:rFonts w:ascii="Source Sans Pro" w:hAnsi="Source Sans Pro" w:cstheme="minorHAnsi"/>
          <w:b/>
          <w:color w:val="002E4A"/>
          <w:sz w:val="24"/>
          <w:szCs w:val="24"/>
        </w:rPr>
        <w:t xml:space="preserve">3.  </w:t>
      </w:r>
      <w:r w:rsidR="002438B2" w:rsidRPr="007759D7">
        <w:rPr>
          <w:rFonts w:ascii="Source Sans Pro" w:hAnsi="Source Sans Pro" w:cstheme="minorHAnsi"/>
          <w:b/>
          <w:color w:val="002E4A"/>
          <w:sz w:val="24"/>
          <w:szCs w:val="24"/>
        </w:rPr>
        <w:t>Aksjebasert avlønning</w:t>
      </w:r>
      <w:r w:rsidRPr="007759D7">
        <w:rPr>
          <w:rFonts w:ascii="Source Sans Pro" w:hAnsi="Source Sans Pro" w:cstheme="minorHAnsi"/>
          <w:b/>
          <w:color w:val="002E4A"/>
          <w:sz w:val="24"/>
          <w:szCs w:val="24"/>
        </w:rPr>
        <w:t xml:space="preserve"> </w:t>
      </w:r>
    </w:p>
    <w:p w14:paraId="1727D01E" w14:textId="77777777" w:rsidR="005E5C28" w:rsidRPr="00255968" w:rsidRDefault="005E5C28" w:rsidP="004208A0">
      <w:pPr>
        <w:ind w:left="720"/>
        <w:rPr>
          <w:rFonts w:ascii="Source Sans Pro" w:hAnsi="Source Sans Pro" w:cstheme="minorHAnsi"/>
          <w:sz w:val="24"/>
          <w:szCs w:val="24"/>
          <w:u w:val="single"/>
        </w:rPr>
      </w:pPr>
    </w:p>
    <w:p w14:paraId="2EA05986" w14:textId="40D3395B" w:rsidR="00525E2D" w:rsidRPr="00400D78" w:rsidRDefault="002438B2" w:rsidP="00400D78">
      <w:pPr>
        <w:rPr>
          <w:rFonts w:ascii="Source Sans Pro" w:hAnsi="Source Sans Pro" w:cstheme="minorHAnsi"/>
          <w:sz w:val="24"/>
          <w:szCs w:val="24"/>
        </w:rPr>
      </w:pPr>
      <w:r w:rsidRPr="00255968">
        <w:rPr>
          <w:rFonts w:ascii="Source Sans Pro" w:hAnsi="Source Sans Pro" w:cstheme="minorHAnsi"/>
          <w:sz w:val="24"/>
          <w:szCs w:val="24"/>
        </w:rPr>
        <w:t>Det er ikke gitt</w:t>
      </w:r>
      <w:r w:rsidR="005B6A35" w:rsidRPr="00255968">
        <w:rPr>
          <w:rFonts w:ascii="Source Sans Pro" w:hAnsi="Source Sans Pro" w:cstheme="minorHAnsi"/>
          <w:sz w:val="24"/>
          <w:szCs w:val="24"/>
        </w:rPr>
        <w:t xml:space="preserve"> andre godtgjørelser i form av opsjoner, tildeling av aksjer/egenkapitalbevis, tegningsretter eller andre former for godtgjørelse knyttet til aksjer/egenkapitalbevis eller utvikling av aksje-/egenkapital kurser i selskapet eller konsernet.</w:t>
      </w:r>
    </w:p>
    <w:p w14:paraId="589748D6" w14:textId="77777777" w:rsidR="00CE7242" w:rsidRPr="007759D7" w:rsidRDefault="00812F8E" w:rsidP="00400D78">
      <w:pPr>
        <w:rPr>
          <w:rFonts w:ascii="Source Sans Pro" w:hAnsi="Source Sans Pro" w:cstheme="minorHAnsi"/>
          <w:b/>
          <w:color w:val="002E4A"/>
          <w:sz w:val="24"/>
          <w:szCs w:val="24"/>
        </w:rPr>
      </w:pPr>
      <w:r w:rsidRPr="007759D7">
        <w:rPr>
          <w:rFonts w:ascii="Source Sans Pro" w:hAnsi="Source Sans Pro" w:cstheme="minorHAnsi"/>
          <w:b/>
          <w:color w:val="002E4A"/>
          <w:sz w:val="24"/>
          <w:szCs w:val="24"/>
        </w:rPr>
        <w:t xml:space="preserve">4.  </w:t>
      </w:r>
      <w:r w:rsidR="002438B2" w:rsidRPr="007759D7">
        <w:rPr>
          <w:rFonts w:ascii="Source Sans Pro" w:hAnsi="Source Sans Pro" w:cstheme="minorHAnsi"/>
          <w:b/>
          <w:color w:val="002E4A"/>
          <w:sz w:val="24"/>
          <w:szCs w:val="24"/>
        </w:rPr>
        <w:t>Tilbakekrevning</w:t>
      </w:r>
    </w:p>
    <w:p w14:paraId="3ED22DCE" w14:textId="77777777" w:rsidR="005E5C28" w:rsidRPr="00255968" w:rsidRDefault="005E5C28" w:rsidP="005E5C28">
      <w:pPr>
        <w:pStyle w:val="Listeavsnitt"/>
        <w:ind w:left="360"/>
        <w:rPr>
          <w:rFonts w:ascii="Source Sans Pro" w:hAnsi="Source Sans Pro" w:cstheme="minorHAnsi"/>
          <w:sz w:val="24"/>
          <w:szCs w:val="24"/>
          <w:u w:val="single"/>
        </w:rPr>
      </w:pPr>
    </w:p>
    <w:p w14:paraId="20341F8A" w14:textId="77777777" w:rsidR="005E5C28" w:rsidRPr="00255968" w:rsidRDefault="001123F3" w:rsidP="00812F8E">
      <w:pPr>
        <w:rPr>
          <w:rFonts w:ascii="Source Sans Pro" w:hAnsi="Source Sans Pro" w:cstheme="minorHAnsi"/>
          <w:sz w:val="24"/>
          <w:szCs w:val="24"/>
        </w:rPr>
      </w:pPr>
      <w:r w:rsidRPr="00255968">
        <w:rPr>
          <w:rFonts w:ascii="Source Sans Pro" w:hAnsi="Source Sans Pro" w:cstheme="minorHAnsi"/>
          <w:sz w:val="24"/>
          <w:szCs w:val="24"/>
        </w:rPr>
        <w:t xml:space="preserve">Det </w:t>
      </w:r>
      <w:r w:rsidR="002438B2" w:rsidRPr="00255968">
        <w:rPr>
          <w:rFonts w:ascii="Source Sans Pro" w:hAnsi="Source Sans Pro" w:cstheme="minorHAnsi"/>
          <w:sz w:val="24"/>
          <w:szCs w:val="24"/>
        </w:rPr>
        <w:t>er ikke foretatt tilbakekrevning av</w:t>
      </w:r>
      <w:r w:rsidRPr="00255968">
        <w:rPr>
          <w:rFonts w:ascii="Source Sans Pro" w:hAnsi="Source Sans Pro" w:cstheme="minorHAnsi"/>
          <w:sz w:val="24"/>
          <w:szCs w:val="24"/>
        </w:rPr>
        <w:t xml:space="preserve"> </w:t>
      </w:r>
      <w:r w:rsidR="002438B2" w:rsidRPr="00255968">
        <w:rPr>
          <w:rFonts w:ascii="Source Sans Pro" w:hAnsi="Source Sans Pro" w:cstheme="minorHAnsi"/>
          <w:sz w:val="24"/>
          <w:szCs w:val="24"/>
        </w:rPr>
        <w:t>variable godtgjørelser.</w:t>
      </w:r>
    </w:p>
    <w:p w14:paraId="0AAAB399" w14:textId="77777777" w:rsidR="00812F8E" w:rsidRPr="00255968" w:rsidRDefault="00812F8E" w:rsidP="00812F8E">
      <w:pPr>
        <w:rPr>
          <w:rFonts w:ascii="Source Sans Pro" w:hAnsi="Source Sans Pro" w:cstheme="minorHAnsi"/>
          <w:sz w:val="24"/>
          <w:szCs w:val="24"/>
        </w:rPr>
      </w:pPr>
    </w:p>
    <w:p w14:paraId="51B8AC7A" w14:textId="77777777" w:rsidR="00525E2D" w:rsidRPr="00255968" w:rsidRDefault="00525E2D" w:rsidP="00812F8E">
      <w:pPr>
        <w:rPr>
          <w:rFonts w:ascii="Source Sans Pro" w:hAnsi="Source Sans Pro" w:cstheme="minorHAnsi"/>
          <w:sz w:val="24"/>
          <w:szCs w:val="24"/>
        </w:rPr>
      </w:pPr>
    </w:p>
    <w:p w14:paraId="34BDB17E" w14:textId="77777777" w:rsidR="00812F8E" w:rsidRPr="007759D7" w:rsidRDefault="00812F8E" w:rsidP="00400D78">
      <w:pPr>
        <w:rPr>
          <w:rFonts w:ascii="Source Sans Pro" w:hAnsi="Source Sans Pro" w:cstheme="minorHAnsi"/>
          <w:b/>
          <w:color w:val="002E4A"/>
          <w:sz w:val="24"/>
          <w:szCs w:val="24"/>
        </w:rPr>
      </w:pPr>
      <w:r w:rsidRPr="007759D7">
        <w:rPr>
          <w:rFonts w:ascii="Source Sans Pro" w:hAnsi="Source Sans Pro" w:cstheme="minorHAnsi"/>
          <w:b/>
          <w:color w:val="002E4A"/>
          <w:sz w:val="24"/>
          <w:szCs w:val="24"/>
        </w:rPr>
        <w:t>5. Informasjon om hvordan godtgjørelsen er i samsvar med retningslinjene for godtgjørelsen og hvordan kriteriene for godtgjørelse er anvendt</w:t>
      </w:r>
    </w:p>
    <w:p w14:paraId="6C4EFB33" w14:textId="77777777" w:rsidR="002438B2" w:rsidRPr="00255968" w:rsidRDefault="002438B2" w:rsidP="00E73E39">
      <w:pPr>
        <w:rPr>
          <w:rFonts w:ascii="Source Sans Pro" w:hAnsi="Source Sans Pro" w:cstheme="minorHAnsi"/>
          <w:color w:val="FF0000"/>
          <w:sz w:val="24"/>
          <w:szCs w:val="24"/>
        </w:rPr>
      </w:pPr>
    </w:p>
    <w:p w14:paraId="5980DA3E" w14:textId="2525C530" w:rsidR="00525E2D" w:rsidRPr="00400D78" w:rsidRDefault="001123F3" w:rsidP="00400D78">
      <w:pPr>
        <w:rPr>
          <w:rFonts w:ascii="Source Sans Pro" w:hAnsi="Source Sans Pro" w:cstheme="minorHAnsi"/>
          <w:sz w:val="24"/>
          <w:szCs w:val="24"/>
        </w:rPr>
      </w:pPr>
      <w:r w:rsidRPr="00255968">
        <w:rPr>
          <w:rFonts w:ascii="Source Sans Pro" w:hAnsi="Source Sans Pro" w:cstheme="minorHAnsi"/>
          <w:sz w:val="24"/>
          <w:szCs w:val="24"/>
        </w:rPr>
        <w:t xml:space="preserve">Fastlønn utgjør hovedinntekten til alle ansatte i Sparebanken Øst. Godtgjørelse utover fastlønn utgjør derfor en liten del av den ansattes inntekt. Dette gjelder også ledende personer. Dette støtter oppunder bankens økonomiske strategi og bæreevne, mål, bankens lave risikoprofil og langsiktige interesser. Videre bidrar det til å redusere interessekonflikter mellom </w:t>
      </w:r>
      <w:r w:rsidRPr="00255968">
        <w:rPr>
          <w:rFonts w:ascii="Source Sans Pro" w:hAnsi="Source Sans Pro" w:cstheme="minorHAnsi"/>
          <w:sz w:val="24"/>
          <w:szCs w:val="24"/>
        </w:rPr>
        <w:lastRenderedPageBreak/>
        <w:t>banken, ansatte og kunder.</w:t>
      </w:r>
      <w:r w:rsidRPr="00255968">
        <w:rPr>
          <w:rFonts w:ascii="Source Sans Pro" w:hAnsi="Source Sans Pro" w:cstheme="minorHAnsi"/>
          <w:sz w:val="24"/>
          <w:szCs w:val="24"/>
        </w:rPr>
        <w:br/>
      </w:r>
      <w:r w:rsidRPr="00255968">
        <w:rPr>
          <w:rFonts w:ascii="Source Sans Pro" w:hAnsi="Source Sans Pro" w:cstheme="minorHAnsi"/>
          <w:sz w:val="24"/>
          <w:szCs w:val="24"/>
        </w:rPr>
        <w:br/>
      </w:r>
      <w:r w:rsidR="006439A2" w:rsidRPr="00255968">
        <w:rPr>
          <w:rFonts w:ascii="Source Sans Pro" w:hAnsi="Source Sans Pro" w:cstheme="minorHAnsi"/>
          <w:sz w:val="24"/>
          <w:szCs w:val="24"/>
        </w:rPr>
        <w:t xml:space="preserve">Styret vurderer at det i 2021 er ført en forsvarlig lønnspolitikk innenfor rammen av retningslinjene. </w:t>
      </w:r>
    </w:p>
    <w:p w14:paraId="3F4154B7" w14:textId="77777777" w:rsidR="00CE7242" w:rsidRPr="00255968" w:rsidRDefault="007D6106" w:rsidP="00400D78">
      <w:pPr>
        <w:rPr>
          <w:rFonts w:ascii="Source Sans Pro" w:hAnsi="Source Sans Pro" w:cstheme="minorHAnsi"/>
          <w:sz w:val="24"/>
          <w:szCs w:val="24"/>
          <w:u w:val="single"/>
        </w:rPr>
      </w:pPr>
      <w:r w:rsidRPr="007759D7">
        <w:rPr>
          <w:rFonts w:ascii="Source Sans Pro" w:hAnsi="Source Sans Pro" w:cstheme="minorHAnsi"/>
          <w:b/>
          <w:color w:val="002E4A"/>
          <w:sz w:val="24"/>
          <w:szCs w:val="24"/>
        </w:rPr>
        <w:t xml:space="preserve">6. </w:t>
      </w:r>
      <w:r w:rsidR="00DD2E81" w:rsidRPr="007759D7">
        <w:rPr>
          <w:rFonts w:ascii="Source Sans Pro" w:hAnsi="Source Sans Pro" w:cstheme="minorHAnsi"/>
          <w:b/>
          <w:color w:val="002E4A"/>
          <w:sz w:val="24"/>
          <w:szCs w:val="24"/>
        </w:rPr>
        <w:t xml:space="preserve">Avvik og unntak fra retningslinjene og fra prosedyren for </w:t>
      </w:r>
      <w:r w:rsidR="00525E2D" w:rsidRPr="007759D7">
        <w:rPr>
          <w:rFonts w:ascii="Source Sans Pro" w:hAnsi="Source Sans Pro" w:cstheme="minorHAnsi"/>
          <w:b/>
          <w:color w:val="002E4A"/>
          <w:sz w:val="24"/>
          <w:szCs w:val="24"/>
        </w:rPr>
        <w:t>retningslinjenes implementering</w:t>
      </w:r>
      <w:r w:rsidR="00DD2E81" w:rsidRPr="00255968">
        <w:rPr>
          <w:rFonts w:ascii="Source Sans Pro" w:hAnsi="Source Sans Pro" w:cstheme="minorHAnsi"/>
          <w:sz w:val="24"/>
          <w:szCs w:val="24"/>
          <w:u w:val="single"/>
        </w:rPr>
        <w:br/>
      </w:r>
    </w:p>
    <w:p w14:paraId="64083607" w14:textId="69D85A06" w:rsidR="00400D78" w:rsidRDefault="00BC6955" w:rsidP="00812F8E">
      <w:pPr>
        <w:rPr>
          <w:rFonts w:ascii="Source Sans Pro" w:hAnsi="Source Sans Pro" w:cstheme="minorHAnsi"/>
          <w:sz w:val="24"/>
          <w:szCs w:val="24"/>
        </w:rPr>
        <w:sectPr w:rsidR="00400D78" w:rsidSect="00400D78">
          <w:type w:val="continuous"/>
          <w:pgSz w:w="16838" w:h="11906" w:orient="landscape"/>
          <w:pgMar w:top="1417" w:right="1417" w:bottom="1417" w:left="1417" w:header="708" w:footer="708" w:gutter="0"/>
          <w:cols w:num="2" w:space="708"/>
          <w:docGrid w:linePitch="272"/>
        </w:sectPr>
      </w:pPr>
      <w:r w:rsidRPr="00255968">
        <w:rPr>
          <w:rFonts w:ascii="Source Sans Pro" w:hAnsi="Source Sans Pro" w:cstheme="minorHAnsi"/>
          <w:sz w:val="24"/>
          <w:szCs w:val="24"/>
        </w:rPr>
        <w:t xml:space="preserve">Styret har i 2021 ikke benyttet mulighetene til å fravike retningslinjene. </w:t>
      </w:r>
    </w:p>
    <w:p w14:paraId="2EB8B982" w14:textId="19302A8A" w:rsidR="007655BC" w:rsidRDefault="007655BC" w:rsidP="00812F8E">
      <w:pPr>
        <w:rPr>
          <w:rFonts w:ascii="Source Sans Pro" w:hAnsi="Source Sans Pro" w:cstheme="minorHAnsi"/>
          <w:sz w:val="24"/>
          <w:szCs w:val="24"/>
        </w:rPr>
      </w:pPr>
    </w:p>
    <w:p w14:paraId="67DCA75A" w14:textId="34C5D794" w:rsidR="00400D78" w:rsidRDefault="00400D78" w:rsidP="00812F8E">
      <w:pPr>
        <w:rPr>
          <w:rFonts w:ascii="Source Sans Pro" w:hAnsi="Source Sans Pro" w:cstheme="minorHAnsi"/>
          <w:sz w:val="24"/>
          <w:szCs w:val="24"/>
        </w:rPr>
      </w:pPr>
    </w:p>
    <w:p w14:paraId="24EC0E27" w14:textId="6381AD23" w:rsidR="00400D78" w:rsidRDefault="00400D78" w:rsidP="00812F8E">
      <w:pPr>
        <w:rPr>
          <w:rFonts w:ascii="Source Sans Pro" w:hAnsi="Source Sans Pro" w:cstheme="minorHAnsi"/>
          <w:sz w:val="24"/>
          <w:szCs w:val="24"/>
        </w:rPr>
      </w:pPr>
    </w:p>
    <w:p w14:paraId="00DC0590" w14:textId="605B702A" w:rsidR="00400D78" w:rsidRDefault="00400D78" w:rsidP="00812F8E">
      <w:pPr>
        <w:rPr>
          <w:rFonts w:ascii="Source Sans Pro" w:hAnsi="Source Sans Pro" w:cstheme="minorHAnsi"/>
          <w:sz w:val="24"/>
          <w:szCs w:val="24"/>
        </w:rPr>
      </w:pPr>
    </w:p>
    <w:p w14:paraId="2EEAE5BB" w14:textId="1DF24D05" w:rsidR="00400D78" w:rsidRDefault="00400D78" w:rsidP="00812F8E">
      <w:pPr>
        <w:rPr>
          <w:rFonts w:ascii="Source Sans Pro" w:hAnsi="Source Sans Pro" w:cstheme="minorHAnsi"/>
          <w:sz w:val="24"/>
          <w:szCs w:val="24"/>
        </w:rPr>
      </w:pPr>
    </w:p>
    <w:p w14:paraId="7381804C" w14:textId="54F21F2D" w:rsidR="00400D78" w:rsidRDefault="00400D78" w:rsidP="00812F8E">
      <w:pPr>
        <w:rPr>
          <w:rFonts w:ascii="Source Sans Pro" w:hAnsi="Source Sans Pro" w:cstheme="minorHAnsi"/>
          <w:sz w:val="24"/>
          <w:szCs w:val="24"/>
        </w:rPr>
      </w:pPr>
    </w:p>
    <w:p w14:paraId="67A2D3C4" w14:textId="3100AA7A" w:rsidR="00400D78" w:rsidRDefault="00400D78" w:rsidP="00812F8E">
      <w:pPr>
        <w:rPr>
          <w:rFonts w:ascii="Source Sans Pro" w:hAnsi="Source Sans Pro" w:cstheme="minorHAnsi"/>
          <w:sz w:val="24"/>
          <w:szCs w:val="24"/>
        </w:rPr>
      </w:pPr>
    </w:p>
    <w:p w14:paraId="0198CD9C" w14:textId="5EC3C2D8" w:rsidR="00400D78" w:rsidRDefault="00400D78" w:rsidP="00812F8E">
      <w:pPr>
        <w:rPr>
          <w:rFonts w:ascii="Source Sans Pro" w:hAnsi="Source Sans Pro" w:cstheme="minorHAnsi"/>
          <w:sz w:val="24"/>
          <w:szCs w:val="24"/>
        </w:rPr>
      </w:pPr>
    </w:p>
    <w:p w14:paraId="1716CCFC" w14:textId="212C049C" w:rsidR="00400D78" w:rsidRDefault="00400D78" w:rsidP="00812F8E">
      <w:pPr>
        <w:rPr>
          <w:rFonts w:ascii="Source Sans Pro" w:hAnsi="Source Sans Pro" w:cstheme="minorHAnsi"/>
          <w:sz w:val="24"/>
          <w:szCs w:val="24"/>
        </w:rPr>
      </w:pPr>
    </w:p>
    <w:p w14:paraId="30B995B6" w14:textId="2DF7B145" w:rsidR="00400D78" w:rsidRDefault="00400D78" w:rsidP="00812F8E">
      <w:pPr>
        <w:rPr>
          <w:rFonts w:ascii="Source Sans Pro" w:hAnsi="Source Sans Pro" w:cstheme="minorHAnsi"/>
          <w:sz w:val="24"/>
          <w:szCs w:val="24"/>
        </w:rPr>
      </w:pPr>
    </w:p>
    <w:p w14:paraId="12587332" w14:textId="165A3E83" w:rsidR="00400D78" w:rsidRDefault="00400D78" w:rsidP="00812F8E">
      <w:pPr>
        <w:rPr>
          <w:rFonts w:ascii="Source Sans Pro" w:hAnsi="Source Sans Pro" w:cstheme="minorHAnsi"/>
          <w:sz w:val="24"/>
          <w:szCs w:val="24"/>
        </w:rPr>
      </w:pPr>
    </w:p>
    <w:p w14:paraId="1F1CF644" w14:textId="77C391C1" w:rsidR="00400D78" w:rsidRDefault="00400D78" w:rsidP="00812F8E">
      <w:pPr>
        <w:rPr>
          <w:rFonts w:ascii="Source Sans Pro" w:hAnsi="Source Sans Pro" w:cstheme="minorHAnsi"/>
          <w:sz w:val="24"/>
          <w:szCs w:val="24"/>
        </w:rPr>
      </w:pPr>
    </w:p>
    <w:p w14:paraId="24BB95CC" w14:textId="754CA2B4" w:rsidR="00400D78" w:rsidRDefault="00400D78" w:rsidP="00812F8E">
      <w:pPr>
        <w:rPr>
          <w:rFonts w:ascii="Source Sans Pro" w:hAnsi="Source Sans Pro" w:cstheme="minorHAnsi"/>
          <w:sz w:val="24"/>
          <w:szCs w:val="24"/>
        </w:rPr>
      </w:pPr>
    </w:p>
    <w:p w14:paraId="180ABC85" w14:textId="20BD72FB" w:rsidR="00400D78" w:rsidRDefault="00400D78" w:rsidP="00812F8E">
      <w:pPr>
        <w:rPr>
          <w:rFonts w:ascii="Source Sans Pro" w:hAnsi="Source Sans Pro" w:cstheme="minorHAnsi"/>
          <w:sz w:val="24"/>
          <w:szCs w:val="24"/>
        </w:rPr>
      </w:pPr>
    </w:p>
    <w:p w14:paraId="1EF0C693" w14:textId="0573B2CD" w:rsidR="00400D78" w:rsidRDefault="00400D78" w:rsidP="00812F8E">
      <w:pPr>
        <w:rPr>
          <w:rFonts w:ascii="Source Sans Pro" w:hAnsi="Source Sans Pro" w:cstheme="minorHAnsi"/>
          <w:sz w:val="24"/>
          <w:szCs w:val="24"/>
        </w:rPr>
      </w:pPr>
    </w:p>
    <w:p w14:paraId="429F17D2" w14:textId="77777777" w:rsidR="00400D78" w:rsidRDefault="00400D78" w:rsidP="00812F8E">
      <w:pPr>
        <w:rPr>
          <w:rFonts w:ascii="Source Sans Pro" w:hAnsi="Source Sans Pro" w:cstheme="minorHAnsi"/>
          <w:sz w:val="24"/>
          <w:szCs w:val="24"/>
        </w:rPr>
      </w:pPr>
    </w:p>
    <w:p w14:paraId="4269541D" w14:textId="44EDA2D2" w:rsidR="00400D78" w:rsidRDefault="00400D78" w:rsidP="00812F8E">
      <w:pPr>
        <w:rPr>
          <w:rFonts w:ascii="Source Sans Pro" w:hAnsi="Source Sans Pro" w:cstheme="minorHAnsi"/>
          <w:sz w:val="24"/>
          <w:szCs w:val="24"/>
        </w:rPr>
      </w:pPr>
    </w:p>
    <w:p w14:paraId="6B8C399D" w14:textId="77777777" w:rsidR="00400D78" w:rsidRPr="00255968" w:rsidRDefault="00400D78" w:rsidP="00812F8E">
      <w:pPr>
        <w:rPr>
          <w:rFonts w:ascii="Source Sans Pro" w:hAnsi="Source Sans Pro" w:cstheme="minorHAnsi"/>
          <w:sz w:val="24"/>
          <w:szCs w:val="24"/>
        </w:rPr>
      </w:pPr>
    </w:p>
    <w:p w14:paraId="7FB18C29" w14:textId="020476FF" w:rsidR="00826F4A" w:rsidRDefault="00CE7242" w:rsidP="00400D78">
      <w:pPr>
        <w:jc w:val="both"/>
        <w:rPr>
          <w:rFonts w:ascii="Source Sans Pro" w:hAnsi="Source Sans Pro" w:cstheme="minorHAnsi"/>
          <w:b/>
          <w:color w:val="002E4A"/>
          <w:sz w:val="24"/>
          <w:szCs w:val="24"/>
        </w:rPr>
      </w:pPr>
      <w:r w:rsidRPr="007759D7">
        <w:rPr>
          <w:rFonts w:ascii="Source Sans Pro" w:hAnsi="Source Sans Pro" w:cstheme="minorHAnsi"/>
          <w:b/>
          <w:color w:val="002E4A"/>
          <w:sz w:val="24"/>
          <w:szCs w:val="24"/>
        </w:rPr>
        <w:t>7</w:t>
      </w:r>
      <w:r w:rsidR="00525E2D" w:rsidRPr="007759D7">
        <w:rPr>
          <w:rFonts w:ascii="Source Sans Pro" w:hAnsi="Source Sans Pro" w:cstheme="minorHAnsi"/>
          <w:b/>
          <w:color w:val="002E4A"/>
          <w:sz w:val="24"/>
          <w:szCs w:val="24"/>
        </w:rPr>
        <w:t>.</w:t>
      </w:r>
      <w:r w:rsidRPr="007759D7">
        <w:rPr>
          <w:rFonts w:ascii="Source Sans Pro" w:hAnsi="Source Sans Pro" w:cstheme="minorHAnsi"/>
          <w:b/>
          <w:color w:val="002E4A"/>
          <w:sz w:val="24"/>
          <w:szCs w:val="24"/>
        </w:rPr>
        <w:t xml:space="preserve"> Sammenligningsinformasjon </w:t>
      </w:r>
    </w:p>
    <w:p w14:paraId="0055D53B" w14:textId="77777777" w:rsidR="00400D78" w:rsidRPr="007759D7" w:rsidRDefault="00400D78" w:rsidP="00400D78">
      <w:pPr>
        <w:jc w:val="both"/>
        <w:rPr>
          <w:rFonts w:ascii="Source Sans Pro" w:hAnsi="Source Sans Pro" w:cstheme="minorHAnsi"/>
          <w:b/>
          <w:color w:val="002E4A"/>
          <w:sz w:val="24"/>
          <w:szCs w:val="24"/>
        </w:rPr>
      </w:pPr>
    </w:p>
    <w:p w14:paraId="595AFC3A" w14:textId="5BDB2702" w:rsidR="005F0BD1" w:rsidRPr="00255968" w:rsidRDefault="004C79AE" w:rsidP="007655BC">
      <w:pPr>
        <w:jc w:val="both"/>
        <w:rPr>
          <w:rFonts w:ascii="Source Sans Pro" w:hAnsi="Source Sans Pro" w:cstheme="minorHAnsi"/>
          <w:sz w:val="24"/>
          <w:szCs w:val="24"/>
        </w:rPr>
      </w:pPr>
      <w:r w:rsidRPr="00255968">
        <w:rPr>
          <w:rFonts w:ascii="Source Sans Pro" w:hAnsi="Source Sans Pro"/>
          <w:noProof/>
          <w:lang w:eastAsia="zh-CN" w:bidi="mn-Mong-CN"/>
        </w:rPr>
        <w:drawing>
          <wp:inline distT="0" distB="0" distL="0" distR="0" wp14:anchorId="660CCBAC" wp14:editId="0119998D">
            <wp:extent cx="8892540" cy="4094618"/>
            <wp:effectExtent l="0" t="0" r="3810" b="127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094618"/>
                    </a:xfrm>
                    <a:prstGeom prst="rect">
                      <a:avLst/>
                    </a:prstGeom>
                    <a:noFill/>
                    <a:ln>
                      <a:noFill/>
                    </a:ln>
                  </pic:spPr>
                </pic:pic>
              </a:graphicData>
            </a:graphic>
          </wp:inline>
        </w:drawing>
      </w:r>
      <w:r w:rsidR="007F294A" w:rsidRPr="00255968">
        <w:rPr>
          <w:rFonts w:ascii="Source Sans Pro" w:hAnsi="Source Sans Pro" w:cstheme="minorHAnsi"/>
          <w:sz w:val="24"/>
          <w:szCs w:val="24"/>
        </w:rPr>
        <w:br/>
      </w:r>
      <w:r w:rsidR="007F294A" w:rsidRPr="00255968">
        <w:rPr>
          <w:rFonts w:ascii="Source Sans Pro" w:hAnsi="Source Sans Pro" w:cstheme="minorHAnsi"/>
          <w:sz w:val="16"/>
          <w:szCs w:val="16"/>
          <w:vertAlign w:val="superscript"/>
        </w:rPr>
        <w:t xml:space="preserve">1 For ledende personer som er ansatt eller sluttet midt i året er ytelsene annualisert </w:t>
      </w:r>
      <w:r w:rsidRPr="00255968">
        <w:rPr>
          <w:rFonts w:ascii="Source Sans Pro" w:hAnsi="Source Sans Pro" w:cstheme="minorHAnsi"/>
          <w:sz w:val="16"/>
          <w:szCs w:val="16"/>
          <w:vertAlign w:val="superscript"/>
        </w:rPr>
        <w:br/>
      </w:r>
      <w:r w:rsidR="007F294A" w:rsidRPr="00255968">
        <w:rPr>
          <w:rFonts w:ascii="Source Sans Pro" w:hAnsi="Source Sans Pro" w:cstheme="minorHAnsi"/>
          <w:sz w:val="16"/>
          <w:szCs w:val="16"/>
          <w:vertAlign w:val="superscript"/>
        </w:rPr>
        <w:t xml:space="preserve">2 Viseadministrerende direktør Kjell Engen hadde i 2021 en stillingsbrøk på 61 % </w:t>
      </w:r>
      <w:r w:rsidRPr="00255968">
        <w:rPr>
          <w:rFonts w:ascii="Source Sans Pro" w:hAnsi="Source Sans Pro" w:cstheme="minorHAnsi"/>
          <w:sz w:val="16"/>
          <w:szCs w:val="16"/>
          <w:vertAlign w:val="superscript"/>
        </w:rPr>
        <w:br/>
      </w:r>
      <w:r w:rsidR="00D8200E" w:rsidRPr="00255968">
        <w:rPr>
          <w:rFonts w:ascii="Source Sans Pro" w:hAnsi="Source Sans Pro" w:cstheme="minorHAnsi"/>
          <w:sz w:val="16"/>
          <w:szCs w:val="16"/>
          <w:vertAlign w:val="superscript"/>
        </w:rPr>
        <w:t xml:space="preserve">3 En stor andel av endringen skyldes engangspremie for ytelsesbaserte pensjonsordninger </w:t>
      </w:r>
      <w:r w:rsidRPr="00255968">
        <w:rPr>
          <w:rFonts w:ascii="Source Sans Pro" w:hAnsi="Source Sans Pro" w:cstheme="minorHAnsi"/>
          <w:sz w:val="16"/>
          <w:szCs w:val="16"/>
          <w:vertAlign w:val="superscript"/>
        </w:rPr>
        <w:br/>
      </w:r>
      <w:r w:rsidR="00D8200E" w:rsidRPr="00255968">
        <w:rPr>
          <w:rFonts w:ascii="Source Sans Pro" w:hAnsi="Source Sans Pro" w:cstheme="minorHAnsi"/>
          <w:sz w:val="16"/>
          <w:szCs w:val="16"/>
          <w:vertAlign w:val="superscript"/>
        </w:rPr>
        <w:t>4 For ansatte i ytelsespensjonsordningen skal pensjonspremien benyttes i beregning av total godtgjørelse. Banken har ikke opplysninger om premie for årene 2016 til 2019, her er pensjonskostnaden benyttet.</w:t>
      </w:r>
      <w:r w:rsidR="007478BE" w:rsidRPr="00255968">
        <w:rPr>
          <w:rFonts w:ascii="Source Sans Pro" w:hAnsi="Source Sans Pro" w:cstheme="minorHAnsi"/>
          <w:sz w:val="16"/>
          <w:szCs w:val="16"/>
          <w:vertAlign w:val="superscript"/>
        </w:rPr>
        <w:t xml:space="preserve"> </w:t>
      </w:r>
      <w:r w:rsidRPr="00255968">
        <w:rPr>
          <w:rFonts w:ascii="Source Sans Pro" w:hAnsi="Source Sans Pro" w:cstheme="minorHAnsi"/>
          <w:sz w:val="16"/>
          <w:szCs w:val="16"/>
          <w:vertAlign w:val="superscript"/>
        </w:rPr>
        <w:br/>
      </w:r>
      <w:r w:rsidR="007478BE" w:rsidRPr="00255968">
        <w:rPr>
          <w:rFonts w:ascii="Source Sans Pro" w:hAnsi="Source Sans Pro" w:cstheme="minorHAnsi"/>
          <w:sz w:val="16"/>
          <w:szCs w:val="16"/>
          <w:vertAlign w:val="superscript"/>
        </w:rPr>
        <w:t xml:space="preserve">5 </w:t>
      </w:r>
      <w:r w:rsidR="0050063B" w:rsidRPr="00255968">
        <w:rPr>
          <w:rFonts w:ascii="Source Sans Pro" w:hAnsi="Source Sans Pro" w:cstheme="minorHAnsi"/>
          <w:sz w:val="16"/>
          <w:szCs w:val="16"/>
          <w:vertAlign w:val="superscript"/>
        </w:rPr>
        <w:t>Honorar for deltakelse i styret er inkludert i samlet godtgjørelse for styret 2020</w:t>
      </w:r>
      <w:r w:rsidR="00732CAD" w:rsidRPr="00255968">
        <w:rPr>
          <w:rFonts w:ascii="Source Sans Pro" w:hAnsi="Source Sans Pro" w:cstheme="minorHAnsi"/>
          <w:sz w:val="16"/>
          <w:szCs w:val="16"/>
          <w:vertAlign w:val="superscript"/>
        </w:rPr>
        <w:t>.</w:t>
      </w:r>
      <w:r w:rsidR="0050063B" w:rsidRPr="00255968">
        <w:rPr>
          <w:rFonts w:ascii="Source Sans Pro" w:hAnsi="Source Sans Pro" w:cstheme="minorHAnsi"/>
          <w:sz w:val="16"/>
          <w:szCs w:val="16"/>
          <w:vertAlign w:val="superscript"/>
        </w:rPr>
        <w:t xml:space="preserve"> </w:t>
      </w:r>
      <w:r w:rsidR="00732CAD" w:rsidRPr="00255968">
        <w:rPr>
          <w:rFonts w:ascii="Source Sans Pro" w:hAnsi="Source Sans Pro" w:cstheme="minorHAnsi"/>
          <w:sz w:val="16"/>
          <w:szCs w:val="16"/>
          <w:vertAlign w:val="superscript"/>
        </w:rPr>
        <w:t xml:space="preserve"> </w:t>
      </w:r>
      <w:r w:rsidRPr="00255968">
        <w:rPr>
          <w:rFonts w:ascii="Source Sans Pro" w:hAnsi="Source Sans Pro" w:cstheme="minorHAnsi"/>
          <w:sz w:val="16"/>
          <w:szCs w:val="16"/>
          <w:vertAlign w:val="superscript"/>
        </w:rPr>
        <w:br/>
      </w:r>
      <w:r w:rsidR="00732CAD" w:rsidRPr="00255968">
        <w:rPr>
          <w:rFonts w:ascii="Source Sans Pro" w:hAnsi="Source Sans Pro" w:cstheme="minorHAnsi"/>
          <w:sz w:val="16"/>
          <w:szCs w:val="16"/>
          <w:vertAlign w:val="superscript"/>
        </w:rPr>
        <w:t xml:space="preserve">6 Styret har ikke vært sammensatt av </w:t>
      </w:r>
      <w:r w:rsidR="00EA4AE7" w:rsidRPr="00255968">
        <w:rPr>
          <w:rFonts w:ascii="Source Sans Pro" w:hAnsi="Source Sans Pro" w:cstheme="minorHAnsi"/>
          <w:sz w:val="16"/>
          <w:szCs w:val="16"/>
          <w:vertAlign w:val="superscript"/>
        </w:rPr>
        <w:t xml:space="preserve">de </w:t>
      </w:r>
      <w:r w:rsidR="00732CAD" w:rsidRPr="00255968">
        <w:rPr>
          <w:rFonts w:ascii="Source Sans Pro" w:hAnsi="Source Sans Pro" w:cstheme="minorHAnsi"/>
          <w:sz w:val="16"/>
          <w:szCs w:val="16"/>
          <w:vertAlign w:val="superscript"/>
        </w:rPr>
        <w:t xml:space="preserve">samme medlemmer i alle periodene.  </w:t>
      </w:r>
      <w:r w:rsidR="00F40822" w:rsidRPr="00255968">
        <w:rPr>
          <w:rFonts w:ascii="Source Sans Pro" w:hAnsi="Source Sans Pro" w:cstheme="minorHAnsi"/>
          <w:sz w:val="16"/>
          <w:szCs w:val="16"/>
          <w:vertAlign w:val="superscript"/>
        </w:rPr>
        <w:t xml:space="preserve">Beløpene </w:t>
      </w:r>
      <w:r w:rsidR="004B4ED1" w:rsidRPr="00255968">
        <w:rPr>
          <w:rFonts w:ascii="Source Sans Pro" w:hAnsi="Source Sans Pro" w:cstheme="minorHAnsi"/>
          <w:sz w:val="16"/>
          <w:szCs w:val="16"/>
          <w:vertAlign w:val="superscript"/>
        </w:rPr>
        <w:t xml:space="preserve">varierer fra år til år som følge av </w:t>
      </w:r>
      <w:r w:rsidR="000668C5" w:rsidRPr="00255968">
        <w:rPr>
          <w:rFonts w:ascii="Source Sans Pro" w:hAnsi="Source Sans Pro" w:cstheme="minorHAnsi"/>
          <w:sz w:val="16"/>
          <w:szCs w:val="16"/>
          <w:vertAlign w:val="superscript"/>
        </w:rPr>
        <w:t xml:space="preserve">endringer i styrets underutvalg.  </w:t>
      </w:r>
      <w:r w:rsidR="00C47A81" w:rsidRPr="00255968">
        <w:rPr>
          <w:rFonts w:ascii="Source Sans Pro" w:hAnsi="Source Sans Pro" w:cstheme="minorHAnsi"/>
          <w:sz w:val="16"/>
          <w:szCs w:val="16"/>
          <w:vertAlign w:val="superscript"/>
        </w:rPr>
        <w:t xml:space="preserve"> </w:t>
      </w:r>
    </w:p>
    <w:p w14:paraId="6F165D52" w14:textId="77777777" w:rsidR="00400D78" w:rsidRDefault="00400D78" w:rsidP="00812F8E">
      <w:pPr>
        <w:rPr>
          <w:rFonts w:ascii="Source Sans Pro" w:hAnsi="Source Sans Pro" w:cstheme="minorHAnsi"/>
          <w:sz w:val="24"/>
          <w:szCs w:val="24"/>
        </w:rPr>
        <w:sectPr w:rsidR="00400D78" w:rsidSect="007759D7">
          <w:type w:val="continuous"/>
          <w:pgSz w:w="16838" w:h="11906" w:orient="landscape"/>
          <w:pgMar w:top="1417" w:right="1417" w:bottom="1417" w:left="1417" w:header="708" w:footer="708" w:gutter="0"/>
          <w:cols w:space="708"/>
          <w:docGrid w:linePitch="272"/>
        </w:sectPr>
      </w:pPr>
    </w:p>
    <w:p w14:paraId="7ADD3984" w14:textId="77777777" w:rsidR="00400D78" w:rsidRDefault="00400D78" w:rsidP="00812F8E">
      <w:pPr>
        <w:rPr>
          <w:rFonts w:ascii="Source Sans Pro" w:hAnsi="Source Sans Pro" w:cstheme="minorHAnsi"/>
          <w:sz w:val="24"/>
          <w:szCs w:val="24"/>
        </w:rPr>
      </w:pPr>
    </w:p>
    <w:p w14:paraId="6F184F6F" w14:textId="77777777" w:rsidR="00400D78" w:rsidRDefault="00400D78" w:rsidP="00812F8E">
      <w:pPr>
        <w:rPr>
          <w:rFonts w:ascii="Source Sans Pro" w:hAnsi="Source Sans Pro" w:cstheme="minorHAnsi"/>
          <w:sz w:val="24"/>
          <w:szCs w:val="24"/>
        </w:rPr>
      </w:pPr>
    </w:p>
    <w:p w14:paraId="7464930A" w14:textId="77777777" w:rsidR="00400D78" w:rsidRDefault="00400D78" w:rsidP="00812F8E">
      <w:pPr>
        <w:rPr>
          <w:rFonts w:ascii="Source Sans Pro" w:hAnsi="Source Sans Pro" w:cstheme="minorHAnsi"/>
          <w:sz w:val="24"/>
          <w:szCs w:val="24"/>
        </w:rPr>
      </w:pPr>
    </w:p>
    <w:p w14:paraId="128B1650" w14:textId="7F2CCA94" w:rsidR="00C63216" w:rsidRPr="00255968" w:rsidRDefault="00C63216" w:rsidP="00812F8E">
      <w:pPr>
        <w:rPr>
          <w:rFonts w:ascii="Source Sans Pro" w:hAnsi="Source Sans Pro" w:cstheme="minorHAnsi"/>
          <w:color w:val="FF0000"/>
          <w:sz w:val="24"/>
          <w:szCs w:val="24"/>
        </w:rPr>
      </w:pPr>
      <w:r w:rsidRPr="00255968">
        <w:rPr>
          <w:rFonts w:ascii="Source Sans Pro" w:hAnsi="Source Sans Pro" w:cstheme="minorHAnsi"/>
          <w:sz w:val="24"/>
          <w:szCs w:val="24"/>
        </w:rPr>
        <w:t xml:space="preserve">Tabellen </w:t>
      </w:r>
      <w:r w:rsidR="00480966" w:rsidRPr="00255968">
        <w:rPr>
          <w:rFonts w:ascii="Source Sans Pro" w:hAnsi="Source Sans Pro" w:cstheme="minorHAnsi"/>
          <w:sz w:val="24"/>
          <w:szCs w:val="24"/>
        </w:rPr>
        <w:t xml:space="preserve">over </w:t>
      </w:r>
      <w:r w:rsidRPr="00255968">
        <w:rPr>
          <w:rFonts w:ascii="Source Sans Pro" w:hAnsi="Source Sans Pro" w:cstheme="minorHAnsi"/>
          <w:sz w:val="24"/>
          <w:szCs w:val="24"/>
        </w:rPr>
        <w:t xml:space="preserve">inkluderer </w:t>
      </w:r>
      <w:r w:rsidR="00480966" w:rsidRPr="00255968">
        <w:rPr>
          <w:rFonts w:ascii="Source Sans Pro" w:hAnsi="Source Sans Pro" w:cstheme="minorHAnsi"/>
          <w:sz w:val="24"/>
          <w:szCs w:val="24"/>
        </w:rPr>
        <w:t>den totale lønn og godtgjørelser</w:t>
      </w:r>
      <w:r w:rsidR="005F214D" w:rsidRPr="00255968">
        <w:rPr>
          <w:rFonts w:ascii="Source Sans Pro" w:hAnsi="Source Sans Pro" w:cstheme="minorHAnsi"/>
          <w:sz w:val="24"/>
          <w:szCs w:val="24"/>
        </w:rPr>
        <w:t xml:space="preserve"> </w:t>
      </w:r>
      <w:r w:rsidRPr="00255968">
        <w:rPr>
          <w:rFonts w:ascii="Source Sans Pro" w:hAnsi="Source Sans Pro" w:cstheme="minorHAnsi"/>
          <w:sz w:val="24"/>
          <w:szCs w:val="24"/>
        </w:rPr>
        <w:t xml:space="preserve">for ledende personer </w:t>
      </w:r>
      <w:r w:rsidR="001F4F61" w:rsidRPr="00255968">
        <w:rPr>
          <w:rFonts w:ascii="Source Sans Pro" w:hAnsi="Source Sans Pro" w:cstheme="minorHAnsi"/>
          <w:sz w:val="24"/>
          <w:szCs w:val="24"/>
        </w:rPr>
        <w:t xml:space="preserve">i 2021, </w:t>
      </w:r>
      <w:r w:rsidRPr="00255968">
        <w:rPr>
          <w:rFonts w:ascii="Source Sans Pro" w:hAnsi="Source Sans Pro" w:cstheme="minorHAnsi"/>
          <w:sz w:val="24"/>
          <w:szCs w:val="24"/>
        </w:rPr>
        <w:t xml:space="preserve">samt </w:t>
      </w:r>
      <w:r w:rsidR="001F4F61" w:rsidRPr="00255968">
        <w:rPr>
          <w:rFonts w:ascii="Source Sans Pro" w:hAnsi="Source Sans Pro" w:cstheme="minorHAnsi"/>
          <w:sz w:val="24"/>
          <w:szCs w:val="24"/>
        </w:rPr>
        <w:t xml:space="preserve">deres lønn og godtgjørelse for tidligere perioder hvor de også var ledende personer. </w:t>
      </w:r>
      <w:r w:rsidR="004C5E05" w:rsidRPr="00255968">
        <w:rPr>
          <w:rFonts w:ascii="Source Sans Pro" w:hAnsi="Source Sans Pro" w:cstheme="minorHAnsi"/>
          <w:sz w:val="24"/>
          <w:szCs w:val="24"/>
        </w:rPr>
        <w:t xml:space="preserve">For styret er total godtgjørelse for styremedlemmer i årene 2016 til 2021 inkludert i tabellen. </w:t>
      </w:r>
      <w:r w:rsidR="001F4F61" w:rsidRPr="00255968">
        <w:rPr>
          <w:rFonts w:ascii="Source Sans Pro" w:hAnsi="Source Sans Pro" w:cstheme="minorHAnsi"/>
          <w:sz w:val="24"/>
          <w:szCs w:val="24"/>
        </w:rPr>
        <w:t xml:space="preserve">Tabellen inkluderer også </w:t>
      </w:r>
      <w:r w:rsidRPr="00255968">
        <w:rPr>
          <w:rFonts w:ascii="Source Sans Pro" w:hAnsi="Source Sans Pro" w:cstheme="minorHAnsi"/>
          <w:sz w:val="24"/>
          <w:szCs w:val="24"/>
        </w:rPr>
        <w:t>gjennomsnittlig lønn og godtgjørelse</w:t>
      </w:r>
      <w:r w:rsidR="007D4355" w:rsidRPr="00255968">
        <w:rPr>
          <w:rFonts w:ascii="Source Sans Pro" w:hAnsi="Source Sans Pro" w:cstheme="minorHAnsi"/>
          <w:sz w:val="24"/>
          <w:szCs w:val="24"/>
        </w:rPr>
        <w:t xml:space="preserve"> </w:t>
      </w:r>
      <w:r w:rsidR="00810D71" w:rsidRPr="00255968">
        <w:rPr>
          <w:rFonts w:ascii="Source Sans Pro" w:hAnsi="Source Sans Pro" w:cstheme="minorHAnsi"/>
          <w:sz w:val="24"/>
          <w:szCs w:val="24"/>
        </w:rPr>
        <w:t>for resterende ansatte</w:t>
      </w:r>
      <w:r w:rsidR="00480966" w:rsidRPr="00255968">
        <w:rPr>
          <w:rFonts w:ascii="Source Sans Pro" w:hAnsi="Source Sans Pro" w:cstheme="minorHAnsi"/>
          <w:sz w:val="24"/>
          <w:szCs w:val="24"/>
        </w:rPr>
        <w:t xml:space="preserve"> i perioden fra 2016 til 2021</w:t>
      </w:r>
      <w:r w:rsidR="00810D71" w:rsidRPr="00255968">
        <w:rPr>
          <w:rFonts w:ascii="Source Sans Pro" w:hAnsi="Source Sans Pro" w:cstheme="minorHAnsi"/>
          <w:sz w:val="24"/>
          <w:szCs w:val="24"/>
        </w:rPr>
        <w:t xml:space="preserve">. </w:t>
      </w:r>
    </w:p>
    <w:p w14:paraId="7CE3BB59" w14:textId="77777777" w:rsidR="00713767" w:rsidRPr="00255968" w:rsidRDefault="00713767" w:rsidP="00812F8E">
      <w:pPr>
        <w:rPr>
          <w:rFonts w:ascii="Source Sans Pro" w:hAnsi="Source Sans Pro" w:cstheme="minorHAnsi"/>
          <w:sz w:val="24"/>
          <w:szCs w:val="24"/>
        </w:rPr>
      </w:pPr>
    </w:p>
    <w:p w14:paraId="47973FB1" w14:textId="77777777" w:rsidR="00DD2E81" w:rsidRPr="00255968" w:rsidRDefault="005D309C" w:rsidP="00812F8E">
      <w:pPr>
        <w:rPr>
          <w:rFonts w:ascii="Source Sans Pro" w:hAnsi="Source Sans Pro" w:cstheme="minorHAnsi"/>
          <w:sz w:val="24"/>
          <w:szCs w:val="24"/>
        </w:rPr>
      </w:pPr>
      <w:r w:rsidRPr="00255968">
        <w:rPr>
          <w:rFonts w:ascii="Source Sans Pro" w:hAnsi="Source Sans Pro" w:cstheme="minorHAnsi"/>
          <w:sz w:val="24"/>
          <w:szCs w:val="24"/>
        </w:rPr>
        <w:t xml:space="preserve">Variasjon i godtgjørelse </w:t>
      </w:r>
      <w:r w:rsidR="00E73E39" w:rsidRPr="00255968">
        <w:rPr>
          <w:rFonts w:ascii="Source Sans Pro" w:hAnsi="Source Sans Pro" w:cstheme="minorHAnsi"/>
          <w:sz w:val="24"/>
          <w:szCs w:val="24"/>
        </w:rPr>
        <w:t>fra ett år til et annet</w:t>
      </w:r>
      <w:r w:rsidRPr="00255968">
        <w:rPr>
          <w:rFonts w:ascii="Source Sans Pro" w:hAnsi="Source Sans Pro" w:cstheme="minorHAnsi"/>
          <w:sz w:val="24"/>
          <w:szCs w:val="24"/>
        </w:rPr>
        <w:t xml:space="preserve"> </w:t>
      </w:r>
      <w:r w:rsidR="00E73E39" w:rsidRPr="00255968">
        <w:rPr>
          <w:rFonts w:ascii="Source Sans Pro" w:hAnsi="Source Sans Pro" w:cstheme="minorHAnsi"/>
          <w:sz w:val="24"/>
          <w:szCs w:val="24"/>
        </w:rPr>
        <w:t xml:space="preserve">kan oppstå som følge av oppnådd </w:t>
      </w:r>
      <w:r w:rsidRPr="00255968">
        <w:rPr>
          <w:rFonts w:ascii="Source Sans Pro" w:hAnsi="Source Sans Pro" w:cstheme="minorHAnsi"/>
          <w:sz w:val="24"/>
          <w:szCs w:val="24"/>
        </w:rPr>
        <w:t xml:space="preserve">overskuddsdeling. </w:t>
      </w:r>
      <w:r w:rsidR="00E73E39" w:rsidRPr="00255968">
        <w:rPr>
          <w:rFonts w:ascii="Source Sans Pro" w:hAnsi="Source Sans Pro" w:cstheme="minorHAnsi"/>
          <w:sz w:val="24"/>
          <w:szCs w:val="24"/>
        </w:rPr>
        <w:t>De økonomiske resultatene ga grunnlag for o</w:t>
      </w:r>
      <w:r w:rsidRPr="00255968">
        <w:rPr>
          <w:rFonts w:ascii="Source Sans Pro" w:hAnsi="Source Sans Pro" w:cstheme="minorHAnsi"/>
          <w:sz w:val="24"/>
          <w:szCs w:val="24"/>
        </w:rPr>
        <w:t xml:space="preserve">verskuddsdeling </w:t>
      </w:r>
      <w:r w:rsidR="00810D71" w:rsidRPr="00255968">
        <w:rPr>
          <w:rFonts w:ascii="Source Sans Pro" w:hAnsi="Source Sans Pro" w:cstheme="minorHAnsi"/>
          <w:sz w:val="24"/>
          <w:szCs w:val="24"/>
        </w:rPr>
        <w:t>i årene 201</w:t>
      </w:r>
      <w:r w:rsidR="00ED53A4" w:rsidRPr="00255968">
        <w:rPr>
          <w:rFonts w:ascii="Source Sans Pro" w:hAnsi="Source Sans Pro" w:cstheme="minorHAnsi"/>
          <w:sz w:val="24"/>
          <w:szCs w:val="24"/>
        </w:rPr>
        <w:t>7</w:t>
      </w:r>
      <w:r w:rsidR="00810D71" w:rsidRPr="00255968">
        <w:rPr>
          <w:rFonts w:ascii="Source Sans Pro" w:hAnsi="Source Sans Pro" w:cstheme="minorHAnsi"/>
          <w:sz w:val="24"/>
          <w:szCs w:val="24"/>
        </w:rPr>
        <w:t>, 201</w:t>
      </w:r>
      <w:r w:rsidR="00ED53A4" w:rsidRPr="00255968">
        <w:rPr>
          <w:rFonts w:ascii="Source Sans Pro" w:hAnsi="Source Sans Pro" w:cstheme="minorHAnsi"/>
          <w:sz w:val="24"/>
          <w:szCs w:val="24"/>
        </w:rPr>
        <w:t xml:space="preserve">8, 2020 </w:t>
      </w:r>
      <w:r w:rsidR="00810D71" w:rsidRPr="00255968">
        <w:rPr>
          <w:rFonts w:ascii="Source Sans Pro" w:hAnsi="Source Sans Pro" w:cstheme="minorHAnsi"/>
          <w:sz w:val="24"/>
          <w:szCs w:val="24"/>
        </w:rPr>
        <w:t xml:space="preserve">og 2021. </w:t>
      </w:r>
    </w:p>
    <w:p w14:paraId="1073349B" w14:textId="77777777" w:rsidR="00C63216" w:rsidRPr="00255968" w:rsidRDefault="00C63216" w:rsidP="00812F8E">
      <w:pPr>
        <w:rPr>
          <w:rFonts w:ascii="Source Sans Pro" w:hAnsi="Source Sans Pro" w:cstheme="minorHAnsi"/>
          <w:sz w:val="24"/>
          <w:szCs w:val="24"/>
        </w:rPr>
      </w:pPr>
    </w:p>
    <w:p w14:paraId="2EB5E6D7" w14:textId="77777777" w:rsidR="00C6450D" w:rsidRPr="00255968" w:rsidRDefault="006C49BE" w:rsidP="00812F8E">
      <w:pPr>
        <w:rPr>
          <w:rFonts w:ascii="Source Sans Pro" w:hAnsi="Source Sans Pro" w:cstheme="minorHAnsi"/>
          <w:sz w:val="24"/>
          <w:szCs w:val="24"/>
        </w:rPr>
      </w:pPr>
      <w:r w:rsidRPr="00255968">
        <w:rPr>
          <w:rFonts w:ascii="Source Sans Pro" w:hAnsi="Source Sans Pro" w:cstheme="minorHAnsi"/>
          <w:sz w:val="24"/>
          <w:szCs w:val="24"/>
        </w:rPr>
        <w:t>Den samlede godtgjørelsen til ansatte i banken varier</w:t>
      </w:r>
      <w:r w:rsidR="007223E0" w:rsidRPr="00255968">
        <w:rPr>
          <w:rFonts w:ascii="Source Sans Pro" w:hAnsi="Source Sans Pro" w:cstheme="minorHAnsi"/>
          <w:sz w:val="24"/>
          <w:szCs w:val="24"/>
        </w:rPr>
        <w:t>er</w:t>
      </w:r>
      <w:r w:rsidRPr="00255968">
        <w:rPr>
          <w:rFonts w:ascii="Source Sans Pro" w:hAnsi="Source Sans Pro" w:cstheme="minorHAnsi"/>
          <w:sz w:val="24"/>
          <w:szCs w:val="24"/>
        </w:rPr>
        <w:t xml:space="preserve"> fra år til år som følge av flere forhold. </w:t>
      </w:r>
      <w:r w:rsidR="00C6450D" w:rsidRPr="00255968">
        <w:rPr>
          <w:rFonts w:ascii="Source Sans Pro" w:hAnsi="Source Sans Pro" w:cstheme="minorHAnsi"/>
          <w:sz w:val="24"/>
          <w:szCs w:val="24"/>
        </w:rPr>
        <w:t xml:space="preserve">Bruken av overtid </w:t>
      </w:r>
      <w:r w:rsidR="004F0565" w:rsidRPr="00255968">
        <w:rPr>
          <w:rFonts w:ascii="Source Sans Pro" w:hAnsi="Source Sans Pro" w:cstheme="minorHAnsi"/>
          <w:sz w:val="24"/>
          <w:szCs w:val="24"/>
        </w:rPr>
        <w:t xml:space="preserve">utgjorde 2 </w:t>
      </w:r>
      <w:r w:rsidR="00827F44" w:rsidRPr="00255968">
        <w:rPr>
          <w:rFonts w:ascii="Source Sans Pro" w:hAnsi="Source Sans Pro" w:cstheme="minorHAnsi"/>
          <w:sz w:val="24"/>
          <w:szCs w:val="24"/>
        </w:rPr>
        <w:t>prosent</w:t>
      </w:r>
      <w:r w:rsidR="004F0565" w:rsidRPr="00255968">
        <w:rPr>
          <w:rFonts w:ascii="Source Sans Pro" w:hAnsi="Source Sans Pro" w:cstheme="minorHAnsi"/>
          <w:sz w:val="24"/>
          <w:szCs w:val="24"/>
        </w:rPr>
        <w:t xml:space="preserve"> av totale godtgjørelser i 2017. I 2018 økte dette til 4 </w:t>
      </w:r>
      <w:r w:rsidR="00827F44" w:rsidRPr="00255968">
        <w:rPr>
          <w:rFonts w:ascii="Source Sans Pro" w:hAnsi="Source Sans Pro" w:cstheme="minorHAnsi"/>
          <w:sz w:val="24"/>
          <w:szCs w:val="24"/>
        </w:rPr>
        <w:t>prosent</w:t>
      </w:r>
      <w:r w:rsidR="004F0565" w:rsidRPr="00255968">
        <w:rPr>
          <w:rFonts w:ascii="Source Sans Pro" w:hAnsi="Source Sans Pro" w:cstheme="minorHAnsi"/>
          <w:sz w:val="24"/>
          <w:szCs w:val="24"/>
        </w:rPr>
        <w:t xml:space="preserve">. For årene 2018, 2020 og 2021 utgjorde overtidsbruken hhv. 4 </w:t>
      </w:r>
      <w:r w:rsidR="00827F44" w:rsidRPr="00255968">
        <w:rPr>
          <w:rFonts w:ascii="Source Sans Pro" w:hAnsi="Source Sans Pro" w:cstheme="minorHAnsi"/>
          <w:sz w:val="24"/>
          <w:szCs w:val="24"/>
        </w:rPr>
        <w:t>prosent</w:t>
      </w:r>
      <w:r w:rsidR="004F0565" w:rsidRPr="00255968">
        <w:rPr>
          <w:rFonts w:ascii="Source Sans Pro" w:hAnsi="Source Sans Pro" w:cstheme="minorHAnsi"/>
          <w:sz w:val="24"/>
          <w:szCs w:val="24"/>
        </w:rPr>
        <w:t xml:space="preserve">, 4 </w:t>
      </w:r>
      <w:r w:rsidR="00827F44" w:rsidRPr="00255968">
        <w:rPr>
          <w:rFonts w:ascii="Source Sans Pro" w:hAnsi="Source Sans Pro" w:cstheme="minorHAnsi"/>
          <w:sz w:val="24"/>
          <w:szCs w:val="24"/>
        </w:rPr>
        <w:t>prosent</w:t>
      </w:r>
      <w:r w:rsidR="004F0565" w:rsidRPr="00255968">
        <w:rPr>
          <w:rFonts w:ascii="Source Sans Pro" w:hAnsi="Source Sans Pro" w:cstheme="minorHAnsi"/>
          <w:sz w:val="24"/>
          <w:szCs w:val="24"/>
        </w:rPr>
        <w:t xml:space="preserve"> og 5 </w:t>
      </w:r>
      <w:r w:rsidR="00827F44" w:rsidRPr="00255968">
        <w:rPr>
          <w:rFonts w:ascii="Source Sans Pro" w:hAnsi="Source Sans Pro" w:cstheme="minorHAnsi"/>
          <w:sz w:val="24"/>
          <w:szCs w:val="24"/>
        </w:rPr>
        <w:t>prosent</w:t>
      </w:r>
      <w:r w:rsidR="004F0565" w:rsidRPr="00255968">
        <w:rPr>
          <w:rFonts w:ascii="Source Sans Pro" w:hAnsi="Source Sans Pro" w:cstheme="minorHAnsi"/>
          <w:sz w:val="24"/>
          <w:szCs w:val="24"/>
        </w:rPr>
        <w:t xml:space="preserve"> av totalt godtgjørelser. </w:t>
      </w:r>
    </w:p>
    <w:p w14:paraId="1365995B" w14:textId="77777777" w:rsidR="00C63216" w:rsidRPr="00255968" w:rsidRDefault="00C63216" w:rsidP="00812F8E">
      <w:pPr>
        <w:rPr>
          <w:rFonts w:ascii="Source Sans Pro" w:hAnsi="Source Sans Pro" w:cstheme="minorHAnsi"/>
          <w:sz w:val="24"/>
          <w:szCs w:val="24"/>
        </w:rPr>
      </w:pPr>
    </w:p>
    <w:p w14:paraId="3BB8E3F8" w14:textId="77777777" w:rsidR="00BA4DBF" w:rsidRPr="00255968" w:rsidRDefault="00BA4DBF" w:rsidP="00812F8E">
      <w:pPr>
        <w:rPr>
          <w:rFonts w:ascii="Source Sans Pro" w:hAnsi="Source Sans Pro" w:cstheme="minorHAnsi"/>
          <w:sz w:val="24"/>
          <w:szCs w:val="24"/>
        </w:rPr>
      </w:pPr>
      <w:r w:rsidRPr="00255968">
        <w:rPr>
          <w:rFonts w:ascii="Source Sans Pro" w:hAnsi="Source Sans Pro" w:cstheme="minorHAnsi"/>
          <w:sz w:val="24"/>
          <w:szCs w:val="24"/>
        </w:rPr>
        <w:lastRenderedPageBreak/>
        <w:t xml:space="preserve">Økt kompleksitet </w:t>
      </w:r>
      <w:r w:rsidR="005258A1" w:rsidRPr="00255968">
        <w:rPr>
          <w:rFonts w:ascii="Source Sans Pro" w:hAnsi="Source Sans Pro" w:cstheme="minorHAnsi"/>
          <w:sz w:val="24"/>
          <w:szCs w:val="24"/>
        </w:rPr>
        <w:t xml:space="preserve">i bransjen </w:t>
      </w:r>
      <w:r w:rsidRPr="00255968">
        <w:rPr>
          <w:rFonts w:ascii="Source Sans Pro" w:hAnsi="Source Sans Pro" w:cstheme="minorHAnsi"/>
          <w:sz w:val="24"/>
          <w:szCs w:val="24"/>
        </w:rPr>
        <w:t xml:space="preserve">og </w:t>
      </w:r>
      <w:r w:rsidR="005258A1" w:rsidRPr="00255968">
        <w:rPr>
          <w:rFonts w:ascii="Source Sans Pro" w:hAnsi="Source Sans Pro" w:cstheme="minorHAnsi"/>
          <w:sz w:val="24"/>
          <w:szCs w:val="24"/>
        </w:rPr>
        <w:t xml:space="preserve">nye </w:t>
      </w:r>
      <w:r w:rsidRPr="00255968">
        <w:rPr>
          <w:rFonts w:ascii="Source Sans Pro" w:hAnsi="Source Sans Pro" w:cstheme="minorHAnsi"/>
          <w:sz w:val="24"/>
          <w:szCs w:val="24"/>
        </w:rPr>
        <w:t>regulatoriske krav har påvirket bankens kompetansebehov.</w:t>
      </w:r>
      <w:r w:rsidR="005258A1" w:rsidRPr="00255968">
        <w:rPr>
          <w:rFonts w:ascii="Source Sans Pro" w:hAnsi="Source Sans Pro" w:cstheme="minorHAnsi"/>
          <w:sz w:val="24"/>
          <w:szCs w:val="24"/>
        </w:rPr>
        <w:t xml:space="preserve"> For å møte det økte kompetansebehovet har banken i tillegg til satsing på kompetanseutvikling også hatt behov for å rekruttere ny kompetanse. Aktivitetsnivået i norsk økonomi økte sterkt i 2021 og arbeidsledigheten falt. Banken opplever stor konkurranse om ønsket kompetanse. Dette har påvirket lønnskostnadene spesielt i 2021. </w:t>
      </w:r>
      <w:r w:rsidRPr="00255968">
        <w:rPr>
          <w:rFonts w:ascii="Source Sans Pro" w:hAnsi="Source Sans Pro" w:cstheme="minorHAnsi"/>
          <w:sz w:val="24"/>
          <w:szCs w:val="24"/>
        </w:rPr>
        <w:t xml:space="preserve"> </w:t>
      </w:r>
    </w:p>
    <w:p w14:paraId="3F0E6581" w14:textId="288E47D4" w:rsidR="00FC79CA" w:rsidRDefault="00FC79CA" w:rsidP="008B0230">
      <w:pPr>
        <w:rPr>
          <w:rFonts w:ascii="Source Sans Pro" w:hAnsi="Source Sans Pro" w:cstheme="minorHAnsi"/>
          <w:sz w:val="24"/>
          <w:szCs w:val="24"/>
        </w:rPr>
      </w:pPr>
    </w:p>
    <w:p w14:paraId="75665865" w14:textId="3327908A" w:rsidR="00400D78" w:rsidRDefault="00400D78" w:rsidP="008B0230">
      <w:pPr>
        <w:rPr>
          <w:rFonts w:ascii="Source Sans Pro" w:hAnsi="Source Sans Pro" w:cstheme="minorHAnsi"/>
          <w:sz w:val="24"/>
          <w:szCs w:val="24"/>
        </w:rPr>
      </w:pPr>
    </w:p>
    <w:p w14:paraId="0FE0C88A" w14:textId="3E505F83" w:rsidR="00400D78" w:rsidRDefault="00400D78" w:rsidP="008B0230">
      <w:pPr>
        <w:rPr>
          <w:rFonts w:ascii="Source Sans Pro" w:hAnsi="Source Sans Pro" w:cstheme="minorHAnsi"/>
          <w:sz w:val="24"/>
          <w:szCs w:val="24"/>
        </w:rPr>
      </w:pPr>
    </w:p>
    <w:p w14:paraId="2C6CEC13" w14:textId="77777777" w:rsidR="00400D78" w:rsidRPr="00255968" w:rsidRDefault="00400D78" w:rsidP="008B0230">
      <w:pPr>
        <w:rPr>
          <w:rFonts w:ascii="Source Sans Pro" w:hAnsi="Source Sans Pro" w:cstheme="minorHAnsi"/>
          <w:sz w:val="24"/>
          <w:szCs w:val="24"/>
        </w:rPr>
      </w:pPr>
    </w:p>
    <w:p w14:paraId="2658D97C" w14:textId="77777777" w:rsidR="00DD2E81" w:rsidRPr="00255968" w:rsidRDefault="009138C5" w:rsidP="006C49BE">
      <w:pPr>
        <w:overflowPunct/>
        <w:autoSpaceDE/>
        <w:autoSpaceDN/>
        <w:adjustRightInd/>
        <w:textAlignment w:val="auto"/>
        <w:rPr>
          <w:rFonts w:ascii="Source Sans Pro" w:hAnsi="Source Sans Pro" w:cstheme="minorHAnsi"/>
          <w:sz w:val="24"/>
          <w:szCs w:val="24"/>
        </w:rPr>
      </w:pPr>
      <w:r w:rsidRPr="00255968">
        <w:rPr>
          <w:rFonts w:ascii="Source Sans Pro" w:hAnsi="Source Sans Pro" w:cstheme="minorHAnsi"/>
          <w:sz w:val="24"/>
          <w:szCs w:val="24"/>
        </w:rPr>
        <w:t xml:space="preserve"> </w:t>
      </w:r>
    </w:p>
    <w:p w14:paraId="399C38CC" w14:textId="77777777" w:rsidR="00DD2E81" w:rsidRPr="00255968" w:rsidRDefault="00DD2E81" w:rsidP="00400D78">
      <w:pPr>
        <w:rPr>
          <w:rFonts w:ascii="Source Sans Pro" w:hAnsi="Source Sans Pro" w:cstheme="minorHAnsi"/>
          <w:b/>
          <w:color w:val="0070C0"/>
          <w:sz w:val="24"/>
          <w:szCs w:val="24"/>
        </w:rPr>
      </w:pPr>
      <w:r w:rsidRPr="007759D7">
        <w:rPr>
          <w:rFonts w:ascii="Source Sans Pro" w:hAnsi="Source Sans Pro" w:cstheme="minorHAnsi"/>
          <w:b/>
          <w:color w:val="002E4A"/>
          <w:sz w:val="24"/>
          <w:szCs w:val="24"/>
        </w:rPr>
        <w:t>8. Informasjon om aksjonærenes stemme/valg</w:t>
      </w:r>
    </w:p>
    <w:p w14:paraId="393BC047" w14:textId="77777777" w:rsidR="00DD2E81" w:rsidRPr="00255968" w:rsidRDefault="00DD2E81" w:rsidP="00DD2E81">
      <w:pPr>
        <w:rPr>
          <w:rFonts w:ascii="Source Sans Pro" w:hAnsi="Source Sans Pro" w:cstheme="minorHAnsi"/>
          <w:sz w:val="24"/>
          <w:szCs w:val="24"/>
          <w:highlight w:val="yellow"/>
        </w:rPr>
      </w:pPr>
    </w:p>
    <w:p w14:paraId="444C3949" w14:textId="77777777" w:rsidR="00781B36" w:rsidRPr="00255968" w:rsidRDefault="00781B36" w:rsidP="00DD2E81">
      <w:pPr>
        <w:rPr>
          <w:rFonts w:ascii="Source Sans Pro" w:hAnsi="Source Sans Pro" w:cstheme="minorHAnsi"/>
          <w:sz w:val="24"/>
          <w:szCs w:val="24"/>
        </w:rPr>
      </w:pPr>
      <w:r w:rsidRPr="00255968">
        <w:rPr>
          <w:rFonts w:ascii="Source Sans Pro" w:hAnsi="Source Sans Pro" w:cstheme="minorHAnsi"/>
          <w:sz w:val="24"/>
          <w:szCs w:val="24"/>
        </w:rPr>
        <w:t>Lønnsrapporten er fremlagt for forstanderskapet for første gang i 2022.</w:t>
      </w:r>
    </w:p>
    <w:p w14:paraId="3B3E8906" w14:textId="77777777" w:rsidR="00781B36" w:rsidRPr="00255968" w:rsidRDefault="00781B36" w:rsidP="00812F8E">
      <w:pPr>
        <w:rPr>
          <w:rFonts w:ascii="Source Sans Pro" w:hAnsi="Source Sans Pro" w:cstheme="minorHAnsi"/>
          <w:sz w:val="24"/>
          <w:szCs w:val="24"/>
          <w:highlight w:val="yellow"/>
        </w:rPr>
      </w:pPr>
    </w:p>
    <w:sectPr w:rsidR="00781B36" w:rsidRPr="00255968" w:rsidSect="00400D78">
      <w:type w:val="continuous"/>
      <w:pgSz w:w="16838" w:h="11906" w:orient="landscape"/>
      <w:pgMar w:top="1417" w:right="1417" w:bottom="1417" w:left="1417" w:header="708" w:footer="708" w:gutter="0"/>
      <w:cols w:num="2"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52270" w14:textId="77777777" w:rsidR="00B51937" w:rsidRDefault="00B51937" w:rsidP="00B51937">
      <w:r>
        <w:separator/>
      </w:r>
    </w:p>
  </w:endnote>
  <w:endnote w:type="continuationSeparator" w:id="0">
    <w:p w14:paraId="33F2779C" w14:textId="77777777" w:rsidR="00B51937" w:rsidRDefault="00B51937" w:rsidP="00B5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SemiBold">
    <w:panose1 w:val="020B06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426504"/>
      <w:docPartObj>
        <w:docPartGallery w:val="Page Numbers (Bottom of Page)"/>
        <w:docPartUnique/>
      </w:docPartObj>
    </w:sdtPr>
    <w:sdtEndPr/>
    <w:sdtContent>
      <w:p w14:paraId="692ED625" w14:textId="3CF3132D" w:rsidR="00B51937" w:rsidRDefault="00B51937">
        <w:pPr>
          <w:pStyle w:val="Bunntekst"/>
          <w:jc w:val="right"/>
        </w:pPr>
        <w:r>
          <w:fldChar w:fldCharType="begin"/>
        </w:r>
        <w:r>
          <w:instrText>PAGE   \* MERGEFORMAT</w:instrText>
        </w:r>
        <w:r>
          <w:fldChar w:fldCharType="separate"/>
        </w:r>
        <w:r w:rsidR="0012074F">
          <w:rPr>
            <w:noProof/>
          </w:rPr>
          <w:t>8</w:t>
        </w:r>
        <w:r>
          <w:fldChar w:fldCharType="end"/>
        </w:r>
      </w:p>
    </w:sdtContent>
  </w:sdt>
  <w:p w14:paraId="44DA2860" w14:textId="52788A0F" w:rsidR="00B51937" w:rsidRDefault="0027776B">
    <w:pPr>
      <w:pStyle w:val="Bunntekst"/>
    </w:pPr>
    <w:r>
      <w:rPr>
        <w:noProof/>
        <w:lang w:eastAsia="zh-CN" w:bidi="mn-Mong-CN"/>
      </w:rPr>
      <w:drawing>
        <wp:inline distT="0" distB="0" distL="0" distR="0" wp14:anchorId="0AEC60F9" wp14:editId="2950F7A4">
          <wp:extent cx="1458587" cy="279969"/>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Ø_Logo_Hor_Boks_RGB.png"/>
                  <pic:cNvPicPr/>
                </pic:nvPicPr>
                <pic:blipFill>
                  <a:blip r:embed="rId1">
                    <a:extLst>
                      <a:ext uri="{28A0092B-C50C-407E-A947-70E740481C1C}">
                        <a14:useLocalDpi xmlns:a14="http://schemas.microsoft.com/office/drawing/2010/main" val="0"/>
                      </a:ext>
                    </a:extLst>
                  </a:blip>
                  <a:stretch>
                    <a:fillRect/>
                  </a:stretch>
                </pic:blipFill>
                <pic:spPr>
                  <a:xfrm>
                    <a:off x="0" y="0"/>
                    <a:ext cx="1630120" cy="3128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DAF9C" w14:textId="77777777" w:rsidR="00B51937" w:rsidRDefault="00B51937" w:rsidP="00B51937">
      <w:r>
        <w:separator/>
      </w:r>
    </w:p>
  </w:footnote>
  <w:footnote w:type="continuationSeparator" w:id="0">
    <w:p w14:paraId="0D4B8DE4" w14:textId="77777777" w:rsidR="00B51937" w:rsidRDefault="00B51937" w:rsidP="00B51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0B29"/>
    <w:multiLevelType w:val="hybridMultilevel"/>
    <w:tmpl w:val="86004FC4"/>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1" w15:restartNumberingAfterBreak="0">
    <w:nsid w:val="3BE21B6F"/>
    <w:multiLevelType w:val="multilevel"/>
    <w:tmpl w:val="2E8E80D8"/>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D703037"/>
    <w:multiLevelType w:val="hybridMultilevel"/>
    <w:tmpl w:val="5292030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0540A4C"/>
    <w:multiLevelType w:val="hybridMultilevel"/>
    <w:tmpl w:val="792890F6"/>
    <w:lvl w:ilvl="0" w:tplc="22463730">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o:colormru v:ext="edit" colors="#ffffbd,#ffffe1,#ffffe6,#ffffeb,#fef8e3"/>
      <o:colormenu v:ext="edit" fillcolor="#fef8e3"/>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6C"/>
    <w:rsid w:val="000171A3"/>
    <w:rsid w:val="0002260E"/>
    <w:rsid w:val="00025383"/>
    <w:rsid w:val="00041895"/>
    <w:rsid w:val="00043D6D"/>
    <w:rsid w:val="000668C5"/>
    <w:rsid w:val="00072F9F"/>
    <w:rsid w:val="0009365C"/>
    <w:rsid w:val="00096E1F"/>
    <w:rsid w:val="000D4611"/>
    <w:rsid w:val="000D74A5"/>
    <w:rsid w:val="000F14A1"/>
    <w:rsid w:val="001123F3"/>
    <w:rsid w:val="00115ED0"/>
    <w:rsid w:val="0012074F"/>
    <w:rsid w:val="00157624"/>
    <w:rsid w:val="001A3CBB"/>
    <w:rsid w:val="001B3572"/>
    <w:rsid w:val="001C57D0"/>
    <w:rsid w:val="001E1FE5"/>
    <w:rsid w:val="001F3543"/>
    <w:rsid w:val="001F4F61"/>
    <w:rsid w:val="00214D22"/>
    <w:rsid w:val="00235CD6"/>
    <w:rsid w:val="002438B2"/>
    <w:rsid w:val="00255968"/>
    <w:rsid w:val="00273192"/>
    <w:rsid w:val="00273FC6"/>
    <w:rsid w:val="0027776B"/>
    <w:rsid w:val="002A09AC"/>
    <w:rsid w:val="002D1912"/>
    <w:rsid w:val="00335F34"/>
    <w:rsid w:val="00356121"/>
    <w:rsid w:val="00365BDA"/>
    <w:rsid w:val="003875DA"/>
    <w:rsid w:val="003903ED"/>
    <w:rsid w:val="003A14AD"/>
    <w:rsid w:val="003A4817"/>
    <w:rsid w:val="003B0B40"/>
    <w:rsid w:val="003E4F5F"/>
    <w:rsid w:val="003F6356"/>
    <w:rsid w:val="00400D78"/>
    <w:rsid w:val="004208A0"/>
    <w:rsid w:val="00440A10"/>
    <w:rsid w:val="00476616"/>
    <w:rsid w:val="00480966"/>
    <w:rsid w:val="004B4ED1"/>
    <w:rsid w:val="004C0AAC"/>
    <w:rsid w:val="004C5E05"/>
    <w:rsid w:val="004C79AE"/>
    <w:rsid w:val="004F0565"/>
    <w:rsid w:val="0050063B"/>
    <w:rsid w:val="00500BFC"/>
    <w:rsid w:val="005024C2"/>
    <w:rsid w:val="005258A1"/>
    <w:rsid w:val="00525E2D"/>
    <w:rsid w:val="00536B72"/>
    <w:rsid w:val="005503EF"/>
    <w:rsid w:val="00550C72"/>
    <w:rsid w:val="005A381E"/>
    <w:rsid w:val="005B6A35"/>
    <w:rsid w:val="005D309C"/>
    <w:rsid w:val="005E5C28"/>
    <w:rsid w:val="005F0BD1"/>
    <w:rsid w:val="005F214D"/>
    <w:rsid w:val="006106F2"/>
    <w:rsid w:val="00621DF4"/>
    <w:rsid w:val="00634BB2"/>
    <w:rsid w:val="006439A2"/>
    <w:rsid w:val="00647740"/>
    <w:rsid w:val="006555FE"/>
    <w:rsid w:val="00676852"/>
    <w:rsid w:val="00686632"/>
    <w:rsid w:val="006A2A42"/>
    <w:rsid w:val="006C49BE"/>
    <w:rsid w:val="006D433A"/>
    <w:rsid w:val="006F6144"/>
    <w:rsid w:val="0071175A"/>
    <w:rsid w:val="00713767"/>
    <w:rsid w:val="007223E0"/>
    <w:rsid w:val="00723622"/>
    <w:rsid w:val="00732CAD"/>
    <w:rsid w:val="00735C13"/>
    <w:rsid w:val="007478BE"/>
    <w:rsid w:val="0075790B"/>
    <w:rsid w:val="007655BC"/>
    <w:rsid w:val="00766A9E"/>
    <w:rsid w:val="007744C8"/>
    <w:rsid w:val="007759D7"/>
    <w:rsid w:val="00781B36"/>
    <w:rsid w:val="007B4A28"/>
    <w:rsid w:val="007D4355"/>
    <w:rsid w:val="007D6106"/>
    <w:rsid w:val="007F294A"/>
    <w:rsid w:val="00810D71"/>
    <w:rsid w:val="00812F8E"/>
    <w:rsid w:val="00826F4A"/>
    <w:rsid w:val="00827F44"/>
    <w:rsid w:val="00841CE5"/>
    <w:rsid w:val="00882747"/>
    <w:rsid w:val="008B0230"/>
    <w:rsid w:val="008E340B"/>
    <w:rsid w:val="00911180"/>
    <w:rsid w:val="009138C5"/>
    <w:rsid w:val="00937079"/>
    <w:rsid w:val="0095240A"/>
    <w:rsid w:val="009724D4"/>
    <w:rsid w:val="009D709A"/>
    <w:rsid w:val="00A23B13"/>
    <w:rsid w:val="00A34BDA"/>
    <w:rsid w:val="00A35A1C"/>
    <w:rsid w:val="00A42C09"/>
    <w:rsid w:val="00AA29D2"/>
    <w:rsid w:val="00AA49E4"/>
    <w:rsid w:val="00AB4F79"/>
    <w:rsid w:val="00AB65A2"/>
    <w:rsid w:val="00AD2893"/>
    <w:rsid w:val="00AF447A"/>
    <w:rsid w:val="00AF6944"/>
    <w:rsid w:val="00B51937"/>
    <w:rsid w:val="00B51D37"/>
    <w:rsid w:val="00B525DA"/>
    <w:rsid w:val="00B85C3C"/>
    <w:rsid w:val="00BA4DBF"/>
    <w:rsid w:val="00BC45E9"/>
    <w:rsid w:val="00BC6955"/>
    <w:rsid w:val="00BD228F"/>
    <w:rsid w:val="00BD6454"/>
    <w:rsid w:val="00C0136E"/>
    <w:rsid w:val="00C224F3"/>
    <w:rsid w:val="00C23A55"/>
    <w:rsid w:val="00C47A81"/>
    <w:rsid w:val="00C63216"/>
    <w:rsid w:val="00C6450D"/>
    <w:rsid w:val="00CB06E3"/>
    <w:rsid w:val="00CB0AD4"/>
    <w:rsid w:val="00CE2FE8"/>
    <w:rsid w:val="00CE7242"/>
    <w:rsid w:val="00D315C4"/>
    <w:rsid w:val="00D406AF"/>
    <w:rsid w:val="00D44FA0"/>
    <w:rsid w:val="00D47398"/>
    <w:rsid w:val="00D8200E"/>
    <w:rsid w:val="00D92F07"/>
    <w:rsid w:val="00DC1526"/>
    <w:rsid w:val="00DD2177"/>
    <w:rsid w:val="00DD2E81"/>
    <w:rsid w:val="00DE0008"/>
    <w:rsid w:val="00DF0B37"/>
    <w:rsid w:val="00DF321B"/>
    <w:rsid w:val="00E27B16"/>
    <w:rsid w:val="00E30058"/>
    <w:rsid w:val="00E53B55"/>
    <w:rsid w:val="00E73E39"/>
    <w:rsid w:val="00E81599"/>
    <w:rsid w:val="00EA46BD"/>
    <w:rsid w:val="00EA4AE7"/>
    <w:rsid w:val="00ED53A4"/>
    <w:rsid w:val="00EE64BC"/>
    <w:rsid w:val="00F24230"/>
    <w:rsid w:val="00F40822"/>
    <w:rsid w:val="00F46A23"/>
    <w:rsid w:val="00F707C4"/>
    <w:rsid w:val="00F96D2F"/>
    <w:rsid w:val="00FC26A9"/>
    <w:rsid w:val="00FC586C"/>
    <w:rsid w:val="00FC6BD4"/>
    <w:rsid w:val="00FC79CA"/>
    <w:rsid w:val="00FE44F9"/>
    <w:rsid w:val="00FE6AE6"/>
  </w:rsids>
  <m:mathPr>
    <m:mathFont m:val="Cambria Math"/>
    <m:brkBin m:val="before"/>
    <m:brkBinSub m:val="--"/>
    <m:smallFrac m:val="0"/>
    <m:dispDef/>
    <m:lMargin m:val="0"/>
    <m:rMargin m:val="0"/>
    <m:defJc m:val="centerGroup"/>
    <m:wrapIndent m:val="1440"/>
    <m:intLim m:val="subSup"/>
    <m:naryLim m:val="undOvr"/>
  </m:mathPr>
  <w:themeFontLang w:val="nb-NO"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fbd,#ffffe1,#ffffe6,#ffffeb,#fef8e3"/>
      <o:colormenu v:ext="edit" fillcolor="#fef8e3"/>
    </o:shapedefaults>
    <o:shapelayout v:ext="edit">
      <o:idmap v:ext="edit" data="1"/>
    </o:shapelayout>
  </w:shapeDefaults>
  <w:decimalSymbol w:val=","/>
  <w:listSeparator w:val=";"/>
  <w14:docId w14:val="2A5657F5"/>
  <w15:chartTrackingRefBased/>
  <w15:docId w15:val="{E23F53FA-FF2B-4476-9E6B-6267D5C6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C586C"/>
    <w:pPr>
      <w:ind w:left="720"/>
      <w:contextualSpacing/>
    </w:pPr>
  </w:style>
  <w:style w:type="paragraph" w:customStyle="1" w:styleId="StandardtekstTegn">
    <w:name w:val="Standardtekst Tegn"/>
    <w:basedOn w:val="Normal"/>
    <w:link w:val="StandardtekstTegnTegn"/>
    <w:rsid w:val="00A42C09"/>
    <w:pPr>
      <w:keepLines/>
    </w:pPr>
    <w:rPr>
      <w:rFonts w:ascii="Arial" w:hAnsi="Arial"/>
      <w:sz w:val="16"/>
      <w:szCs w:val="24"/>
    </w:rPr>
  </w:style>
  <w:style w:type="character" w:customStyle="1" w:styleId="StandardtekstTegnTegn">
    <w:name w:val="Standardtekst Tegn Tegn"/>
    <w:link w:val="StandardtekstTegn"/>
    <w:rsid w:val="00A42C09"/>
    <w:rPr>
      <w:rFonts w:ascii="Arial" w:hAnsi="Arial"/>
      <w:sz w:val="16"/>
      <w:szCs w:val="24"/>
    </w:rPr>
  </w:style>
  <w:style w:type="paragraph" w:styleId="Topptekst">
    <w:name w:val="header"/>
    <w:basedOn w:val="Normal"/>
    <w:link w:val="TopptekstTegn"/>
    <w:unhideWhenUsed/>
    <w:rsid w:val="00B51937"/>
    <w:pPr>
      <w:tabs>
        <w:tab w:val="center" w:pos="4536"/>
        <w:tab w:val="right" w:pos="9072"/>
      </w:tabs>
    </w:pPr>
  </w:style>
  <w:style w:type="character" w:customStyle="1" w:styleId="TopptekstTegn">
    <w:name w:val="Topptekst Tegn"/>
    <w:basedOn w:val="Standardskriftforavsnitt"/>
    <w:link w:val="Topptekst"/>
    <w:rsid w:val="00B51937"/>
  </w:style>
  <w:style w:type="paragraph" w:styleId="Bunntekst">
    <w:name w:val="footer"/>
    <w:basedOn w:val="Normal"/>
    <w:link w:val="BunntekstTegn"/>
    <w:uiPriority w:val="99"/>
    <w:unhideWhenUsed/>
    <w:rsid w:val="00B51937"/>
    <w:pPr>
      <w:tabs>
        <w:tab w:val="center" w:pos="4536"/>
        <w:tab w:val="right" w:pos="9072"/>
      </w:tabs>
    </w:pPr>
  </w:style>
  <w:style w:type="character" w:customStyle="1" w:styleId="BunntekstTegn">
    <w:name w:val="Bunntekst Tegn"/>
    <w:basedOn w:val="Standardskriftforavsnitt"/>
    <w:link w:val="Bunntekst"/>
    <w:uiPriority w:val="99"/>
    <w:rsid w:val="00B51937"/>
  </w:style>
  <w:style w:type="character" w:styleId="Merknadsreferanse">
    <w:name w:val="annotation reference"/>
    <w:basedOn w:val="Standardskriftforavsnitt"/>
    <w:semiHidden/>
    <w:unhideWhenUsed/>
    <w:rsid w:val="00C23A55"/>
    <w:rPr>
      <w:sz w:val="16"/>
      <w:szCs w:val="16"/>
    </w:rPr>
  </w:style>
  <w:style w:type="paragraph" w:styleId="Merknadstekst">
    <w:name w:val="annotation text"/>
    <w:basedOn w:val="Normal"/>
    <w:link w:val="MerknadstekstTegn"/>
    <w:semiHidden/>
    <w:unhideWhenUsed/>
    <w:rsid w:val="00C23A55"/>
  </w:style>
  <w:style w:type="character" w:customStyle="1" w:styleId="MerknadstekstTegn">
    <w:name w:val="Merknadstekst Tegn"/>
    <w:basedOn w:val="Standardskriftforavsnitt"/>
    <w:link w:val="Merknadstekst"/>
    <w:semiHidden/>
    <w:rsid w:val="00C23A55"/>
  </w:style>
  <w:style w:type="paragraph" w:styleId="Kommentaremne">
    <w:name w:val="annotation subject"/>
    <w:basedOn w:val="Merknadstekst"/>
    <w:next w:val="Merknadstekst"/>
    <w:link w:val="KommentaremneTegn"/>
    <w:semiHidden/>
    <w:unhideWhenUsed/>
    <w:rsid w:val="00C23A55"/>
    <w:rPr>
      <w:b/>
      <w:bCs/>
    </w:rPr>
  </w:style>
  <w:style w:type="character" w:customStyle="1" w:styleId="KommentaremneTegn">
    <w:name w:val="Kommentaremne Tegn"/>
    <w:basedOn w:val="MerknadstekstTegn"/>
    <w:link w:val="Kommentaremne"/>
    <w:semiHidden/>
    <w:rsid w:val="00C23A55"/>
    <w:rPr>
      <w:b/>
      <w:bCs/>
    </w:rPr>
  </w:style>
  <w:style w:type="paragraph" w:styleId="Bobletekst">
    <w:name w:val="Balloon Text"/>
    <w:basedOn w:val="Normal"/>
    <w:link w:val="BobletekstTegn"/>
    <w:semiHidden/>
    <w:unhideWhenUsed/>
    <w:rsid w:val="00C23A55"/>
    <w:rPr>
      <w:rFonts w:ascii="Segoe UI" w:hAnsi="Segoe UI" w:cs="Segoe UI"/>
      <w:sz w:val="18"/>
      <w:szCs w:val="18"/>
    </w:rPr>
  </w:style>
  <w:style w:type="character" w:customStyle="1" w:styleId="BobletekstTegn">
    <w:name w:val="Bobletekst Tegn"/>
    <w:basedOn w:val="Standardskriftforavsnitt"/>
    <w:link w:val="Bobletekst"/>
    <w:semiHidden/>
    <w:rsid w:val="00C23A55"/>
    <w:rPr>
      <w:rFonts w:ascii="Segoe UI" w:hAnsi="Segoe UI" w:cs="Segoe UI"/>
      <w:sz w:val="18"/>
      <w:szCs w:val="18"/>
    </w:rPr>
  </w:style>
  <w:style w:type="paragraph" w:styleId="Fotnotetekst">
    <w:name w:val="footnote text"/>
    <w:basedOn w:val="Normal"/>
    <w:link w:val="FotnotetekstTegn"/>
    <w:semiHidden/>
    <w:unhideWhenUsed/>
    <w:rsid w:val="00C23A55"/>
  </w:style>
  <w:style w:type="character" w:customStyle="1" w:styleId="FotnotetekstTegn">
    <w:name w:val="Fotnotetekst Tegn"/>
    <w:basedOn w:val="Standardskriftforavsnitt"/>
    <w:link w:val="Fotnotetekst"/>
    <w:semiHidden/>
    <w:rsid w:val="00C23A55"/>
  </w:style>
  <w:style w:type="character" w:styleId="Fotnotereferanse">
    <w:name w:val="footnote reference"/>
    <w:basedOn w:val="Standardskriftforavsnitt"/>
    <w:semiHidden/>
    <w:unhideWhenUsed/>
    <w:rsid w:val="00C23A55"/>
    <w:rPr>
      <w:vertAlign w:val="superscript"/>
    </w:rPr>
  </w:style>
  <w:style w:type="paragraph" w:customStyle="1" w:styleId="Default">
    <w:name w:val="Default"/>
    <w:rsid w:val="000936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2140">
      <w:bodyDiv w:val="1"/>
      <w:marLeft w:val="0"/>
      <w:marRight w:val="0"/>
      <w:marTop w:val="0"/>
      <w:marBottom w:val="0"/>
      <w:divBdr>
        <w:top w:val="none" w:sz="0" w:space="0" w:color="auto"/>
        <w:left w:val="none" w:sz="0" w:space="0" w:color="auto"/>
        <w:bottom w:val="none" w:sz="0" w:space="0" w:color="auto"/>
        <w:right w:val="none" w:sz="0" w:space="0" w:color="auto"/>
      </w:divBdr>
    </w:div>
    <w:div w:id="420416031">
      <w:bodyDiv w:val="1"/>
      <w:marLeft w:val="0"/>
      <w:marRight w:val="0"/>
      <w:marTop w:val="0"/>
      <w:marBottom w:val="0"/>
      <w:divBdr>
        <w:top w:val="none" w:sz="0" w:space="0" w:color="auto"/>
        <w:left w:val="none" w:sz="0" w:space="0" w:color="auto"/>
        <w:bottom w:val="none" w:sz="0" w:space="0" w:color="auto"/>
        <w:right w:val="none" w:sz="0" w:space="0" w:color="auto"/>
      </w:divBdr>
    </w:div>
    <w:div w:id="633294315">
      <w:bodyDiv w:val="1"/>
      <w:marLeft w:val="0"/>
      <w:marRight w:val="0"/>
      <w:marTop w:val="0"/>
      <w:marBottom w:val="0"/>
      <w:divBdr>
        <w:top w:val="none" w:sz="0" w:space="0" w:color="auto"/>
        <w:left w:val="none" w:sz="0" w:space="0" w:color="auto"/>
        <w:bottom w:val="none" w:sz="0" w:space="0" w:color="auto"/>
        <w:right w:val="none" w:sz="0" w:space="0" w:color="auto"/>
      </w:divBdr>
    </w:div>
    <w:div w:id="1111438574">
      <w:bodyDiv w:val="1"/>
      <w:marLeft w:val="0"/>
      <w:marRight w:val="0"/>
      <w:marTop w:val="0"/>
      <w:marBottom w:val="0"/>
      <w:divBdr>
        <w:top w:val="none" w:sz="0" w:space="0" w:color="auto"/>
        <w:left w:val="none" w:sz="0" w:space="0" w:color="auto"/>
        <w:bottom w:val="none" w:sz="0" w:space="0" w:color="auto"/>
        <w:right w:val="none" w:sz="0" w:space="0" w:color="auto"/>
      </w:divBdr>
    </w:div>
    <w:div w:id="1267808000">
      <w:bodyDiv w:val="1"/>
      <w:marLeft w:val="0"/>
      <w:marRight w:val="0"/>
      <w:marTop w:val="0"/>
      <w:marBottom w:val="0"/>
      <w:divBdr>
        <w:top w:val="none" w:sz="0" w:space="0" w:color="auto"/>
        <w:left w:val="none" w:sz="0" w:space="0" w:color="auto"/>
        <w:bottom w:val="none" w:sz="0" w:space="0" w:color="auto"/>
        <w:right w:val="none" w:sz="0" w:space="0" w:color="auto"/>
      </w:divBdr>
    </w:div>
    <w:div w:id="1875148047">
      <w:bodyDiv w:val="1"/>
      <w:marLeft w:val="0"/>
      <w:marRight w:val="0"/>
      <w:marTop w:val="0"/>
      <w:marBottom w:val="0"/>
      <w:divBdr>
        <w:top w:val="none" w:sz="0" w:space="0" w:color="auto"/>
        <w:left w:val="none" w:sz="0" w:space="0" w:color="auto"/>
        <w:bottom w:val="none" w:sz="0" w:space="0" w:color="auto"/>
        <w:right w:val="none" w:sz="0" w:space="0" w:color="auto"/>
      </w:divBdr>
    </w:div>
    <w:div w:id="18911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297A-95BC-4573-BCCC-4B1D6C88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8</Pages>
  <Words>1423</Words>
  <Characters>8922</Characters>
  <Application>Microsoft Office Word</Application>
  <DocSecurity>0</DocSecurity>
  <Lines>74</Lines>
  <Paragraphs>20</Paragraphs>
  <ScaleCrop>false</ScaleCrop>
  <HeadingPairs>
    <vt:vector size="2" baseType="variant">
      <vt:variant>
        <vt:lpstr>Tittel</vt:lpstr>
      </vt:variant>
      <vt:variant>
        <vt:i4>1</vt:i4>
      </vt:variant>
    </vt:vector>
  </HeadingPairs>
  <TitlesOfParts>
    <vt:vector size="1" baseType="lpstr">
      <vt:lpstr/>
    </vt:vector>
  </TitlesOfParts>
  <Company>Sparebanken Øst</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Røren, Tine Sem</dc:creator>
  <cp:keywords/>
  <dc:description/>
  <cp:lastModifiedBy>Sivertsen, Ole</cp:lastModifiedBy>
  <cp:revision>6</cp:revision>
  <dcterms:created xsi:type="dcterms:W3CDTF">2022-03-02T15:19:00Z</dcterms:created>
  <dcterms:modified xsi:type="dcterms:W3CDTF">2022-03-03T09:07:00Z</dcterms:modified>
</cp:coreProperties>
</file>