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C419" w14:textId="132E99E7" w:rsidR="0028189D" w:rsidRPr="0028189D" w:rsidRDefault="0028189D" w:rsidP="0028189D">
      <w:pPr>
        <w:jc w:val="center"/>
        <w:rPr>
          <w:rFonts w:asciiTheme="minorHAnsi" w:hAnsiTheme="minorHAnsi" w:cstheme="minorHAnsi"/>
          <w:b/>
          <w:sz w:val="28"/>
          <w:szCs w:val="28"/>
          <w:lang w:eastAsia="en-US"/>
        </w:rPr>
      </w:pPr>
      <w:r w:rsidRPr="0028189D">
        <w:rPr>
          <w:rFonts w:asciiTheme="minorHAnsi" w:hAnsiTheme="minorHAnsi" w:cstheme="minorHAnsi"/>
          <w:b/>
          <w:sz w:val="28"/>
          <w:szCs w:val="28"/>
          <w:lang w:eastAsia="en-US"/>
        </w:rPr>
        <w:t>RETNINGSLINJER FOR FASTSETTELSE AV GODTGJØRELSE I SPAREBANKEN ØST</w:t>
      </w:r>
    </w:p>
    <w:p w14:paraId="10B5CF52" w14:textId="77777777" w:rsidR="0028189D" w:rsidRPr="0028189D" w:rsidRDefault="0028189D" w:rsidP="0028189D">
      <w:pPr>
        <w:rPr>
          <w:lang w:eastAsia="en-US"/>
        </w:rPr>
      </w:pPr>
    </w:p>
    <w:p w14:paraId="29DF4745" w14:textId="77777777" w:rsidR="0028189D" w:rsidRPr="0028189D" w:rsidRDefault="0028189D" w:rsidP="0028189D">
      <w:pPr>
        <w:rPr>
          <w:rFonts w:asciiTheme="minorHAnsi" w:hAnsiTheme="minorHAnsi" w:cstheme="minorHAnsi"/>
          <w:lang w:eastAsia="en-US"/>
        </w:rPr>
      </w:pPr>
    </w:p>
    <w:p w14:paraId="7A1C1AB4" w14:textId="40165E55" w:rsidR="00F852F4" w:rsidRPr="0028189D" w:rsidRDefault="0028189D" w:rsidP="0028189D">
      <w:pPr>
        <w:rPr>
          <w:rFonts w:asciiTheme="minorHAnsi" w:hAnsiTheme="minorHAnsi" w:cstheme="minorHAnsi"/>
          <w:lang w:eastAsia="en-US"/>
        </w:rPr>
      </w:pPr>
      <w:r w:rsidRPr="0028189D">
        <w:rPr>
          <w:rFonts w:asciiTheme="minorHAnsi" w:hAnsiTheme="minorHAnsi" w:cstheme="minorHAnsi"/>
          <w:lang w:eastAsia="en-US"/>
        </w:rPr>
        <w:t xml:space="preserve">Bankens retningslinjer for godtgjørelse </w:t>
      </w:r>
      <w:r w:rsidR="002B47BE">
        <w:rPr>
          <w:rFonts w:asciiTheme="minorHAnsi" w:hAnsiTheme="minorHAnsi" w:cstheme="minorHAnsi"/>
          <w:lang w:eastAsia="en-US"/>
        </w:rPr>
        <w:t xml:space="preserve">er utarbeidet i henhold til </w:t>
      </w:r>
      <w:r w:rsidR="00C66961">
        <w:rPr>
          <w:rFonts w:asciiTheme="minorHAnsi" w:hAnsiTheme="minorHAnsi" w:cstheme="minorHAnsi"/>
          <w:lang w:eastAsia="en-US"/>
        </w:rPr>
        <w:t xml:space="preserve">lov om </w:t>
      </w:r>
      <w:proofErr w:type="spellStart"/>
      <w:r w:rsidR="00C66961">
        <w:rPr>
          <w:rFonts w:asciiTheme="minorHAnsi" w:hAnsiTheme="minorHAnsi" w:cstheme="minorHAnsi"/>
          <w:lang w:eastAsia="en-US"/>
        </w:rPr>
        <w:t>allmennaksjeselskaper</w:t>
      </w:r>
      <w:proofErr w:type="spellEnd"/>
      <w:r w:rsidR="00C66961">
        <w:rPr>
          <w:rFonts w:asciiTheme="minorHAnsi" w:hAnsiTheme="minorHAnsi" w:cstheme="minorHAnsi"/>
          <w:lang w:eastAsia="en-US"/>
        </w:rPr>
        <w:t xml:space="preserve"> (</w:t>
      </w:r>
      <w:r w:rsidR="00560DFC">
        <w:rPr>
          <w:rFonts w:asciiTheme="minorHAnsi" w:hAnsiTheme="minorHAnsi" w:cstheme="minorHAnsi"/>
          <w:lang w:eastAsia="en-US"/>
        </w:rPr>
        <w:t>a</w:t>
      </w:r>
      <w:r w:rsidR="00C66961">
        <w:rPr>
          <w:rFonts w:asciiTheme="minorHAnsi" w:hAnsiTheme="minorHAnsi" w:cstheme="minorHAnsi"/>
          <w:lang w:eastAsia="en-US"/>
        </w:rPr>
        <w:t xml:space="preserve">llmennaksjeloven) § 6-16a, forskrift om retningslinjer og rapport </w:t>
      </w:r>
      <w:r w:rsidR="002420C2">
        <w:rPr>
          <w:rFonts w:asciiTheme="minorHAnsi" w:hAnsiTheme="minorHAnsi" w:cstheme="minorHAnsi"/>
          <w:lang w:eastAsia="en-US"/>
        </w:rPr>
        <w:t xml:space="preserve">om godtgjørelse </w:t>
      </w:r>
      <w:r w:rsidR="00C66961">
        <w:rPr>
          <w:rFonts w:asciiTheme="minorHAnsi" w:hAnsiTheme="minorHAnsi" w:cstheme="minorHAnsi"/>
          <w:lang w:eastAsia="en-US"/>
        </w:rPr>
        <w:t>for ledende persone</w:t>
      </w:r>
      <w:r w:rsidR="002420C2">
        <w:rPr>
          <w:rFonts w:asciiTheme="minorHAnsi" w:hAnsiTheme="minorHAnsi" w:cstheme="minorHAnsi"/>
          <w:lang w:eastAsia="en-US"/>
        </w:rPr>
        <w:t xml:space="preserve">r, </w:t>
      </w:r>
      <w:r w:rsidR="00D26AA2">
        <w:rPr>
          <w:rFonts w:asciiTheme="minorHAnsi" w:hAnsiTheme="minorHAnsi" w:cstheme="minorHAnsi"/>
          <w:lang w:eastAsia="en-US"/>
        </w:rPr>
        <w:t>l</w:t>
      </w:r>
      <w:r w:rsidR="00A40401">
        <w:rPr>
          <w:rFonts w:asciiTheme="minorHAnsi" w:hAnsiTheme="minorHAnsi" w:cstheme="minorHAnsi"/>
          <w:lang w:eastAsia="en-US"/>
        </w:rPr>
        <w:t xml:space="preserve">ov om finansforetak og finanskonsern (finansforetaksloven), </w:t>
      </w:r>
      <w:r w:rsidR="00D26AA2">
        <w:rPr>
          <w:rFonts w:asciiTheme="minorHAnsi" w:hAnsiTheme="minorHAnsi" w:cstheme="minorHAnsi"/>
          <w:lang w:eastAsia="en-US"/>
        </w:rPr>
        <w:t>f</w:t>
      </w:r>
      <w:r w:rsidR="002B47BE">
        <w:rPr>
          <w:rFonts w:asciiTheme="minorHAnsi" w:hAnsiTheme="minorHAnsi" w:cstheme="minorHAnsi"/>
          <w:lang w:eastAsia="en-US"/>
        </w:rPr>
        <w:t xml:space="preserve">orskrift om finansforetak og finanskonsern (finansforetaksforskriften), </w:t>
      </w:r>
      <w:r w:rsidR="00D26AA2">
        <w:rPr>
          <w:rFonts w:asciiTheme="minorHAnsi" w:hAnsiTheme="minorHAnsi" w:cstheme="minorHAnsi"/>
          <w:lang w:eastAsia="en-US"/>
        </w:rPr>
        <w:t>f</w:t>
      </w:r>
      <w:r w:rsidR="002B47BE">
        <w:rPr>
          <w:rFonts w:asciiTheme="minorHAnsi" w:hAnsiTheme="minorHAnsi" w:cstheme="minorHAnsi"/>
          <w:lang w:eastAsia="en-US"/>
        </w:rPr>
        <w:t>orskrift om retningslinjer og rapport om godtgjørelse for ledende personer</w:t>
      </w:r>
      <w:r w:rsidR="00473A26">
        <w:rPr>
          <w:rFonts w:asciiTheme="minorHAnsi" w:hAnsiTheme="minorHAnsi" w:cstheme="minorHAnsi"/>
          <w:lang w:eastAsia="en-US"/>
        </w:rPr>
        <w:t>,</w:t>
      </w:r>
      <w:r w:rsidR="002B47BE">
        <w:rPr>
          <w:rFonts w:asciiTheme="minorHAnsi" w:hAnsiTheme="minorHAnsi" w:cstheme="minorHAnsi"/>
          <w:lang w:eastAsia="en-US"/>
        </w:rPr>
        <w:t xml:space="preserve"> Finanstilsynets rundskriv 2/2020 av 19.05.2020</w:t>
      </w:r>
      <w:r w:rsidR="00473A26">
        <w:rPr>
          <w:rFonts w:asciiTheme="minorHAnsi" w:hAnsiTheme="minorHAnsi" w:cstheme="minorHAnsi"/>
          <w:lang w:eastAsia="en-US"/>
        </w:rPr>
        <w:t xml:space="preserve"> og </w:t>
      </w:r>
      <w:proofErr w:type="spellStart"/>
      <w:r w:rsidR="00473A26">
        <w:rPr>
          <w:rFonts w:asciiTheme="minorHAnsi" w:hAnsiTheme="minorHAnsi" w:cstheme="minorHAnsi"/>
          <w:lang w:eastAsia="en-US"/>
        </w:rPr>
        <w:t>EBAs</w:t>
      </w:r>
      <w:proofErr w:type="spellEnd"/>
      <w:r w:rsidR="00473A26">
        <w:rPr>
          <w:rFonts w:asciiTheme="minorHAnsi" w:hAnsiTheme="minorHAnsi" w:cstheme="minorHAnsi"/>
          <w:lang w:eastAsia="en-US"/>
        </w:rPr>
        <w:t xml:space="preserve"> retningslinjer av 2. juli 2021 (EBA/GL/2021/04)</w:t>
      </w:r>
      <w:r w:rsidR="002B47BE">
        <w:rPr>
          <w:rFonts w:asciiTheme="minorHAnsi" w:hAnsiTheme="minorHAnsi" w:cstheme="minorHAnsi"/>
          <w:lang w:eastAsia="en-US"/>
        </w:rPr>
        <w:t xml:space="preserve">. </w:t>
      </w:r>
    </w:p>
    <w:p w14:paraId="11E0A2B4" w14:textId="77777777" w:rsidR="0028189D" w:rsidRPr="0028189D" w:rsidRDefault="0028189D" w:rsidP="0028189D">
      <w:pPr>
        <w:autoSpaceDE w:val="0"/>
        <w:autoSpaceDN w:val="0"/>
        <w:adjustRightInd w:val="0"/>
        <w:rPr>
          <w:rFonts w:asciiTheme="minorHAnsi" w:hAnsiTheme="minorHAnsi" w:cstheme="minorHAnsi"/>
          <w:lang w:eastAsia="en-US"/>
        </w:rPr>
      </w:pPr>
    </w:p>
    <w:p w14:paraId="54CE4111" w14:textId="69FD5B82" w:rsidR="00E56594" w:rsidRPr="00177BD0" w:rsidRDefault="00B566E2" w:rsidP="00B05A06">
      <w:pPr>
        <w:rPr>
          <w:rFonts w:asciiTheme="minorHAnsi" w:hAnsiTheme="minorHAnsi" w:cstheme="minorHAnsi"/>
          <w:lang w:eastAsia="en-US"/>
        </w:rPr>
      </w:pPr>
      <w:r w:rsidRPr="00B566E2">
        <w:rPr>
          <w:rFonts w:asciiTheme="minorHAnsi" w:hAnsiTheme="minorHAnsi" w:cstheme="minorHAnsi"/>
          <w:lang w:eastAsia="en-US"/>
        </w:rPr>
        <w:t xml:space="preserve">Retningslinjene gjelder for </w:t>
      </w:r>
      <w:r w:rsidR="00807569">
        <w:rPr>
          <w:rFonts w:asciiTheme="minorHAnsi" w:hAnsiTheme="minorHAnsi" w:cstheme="minorHAnsi"/>
          <w:lang w:eastAsia="en-US"/>
        </w:rPr>
        <w:t xml:space="preserve">alle ansatte, men </w:t>
      </w:r>
      <w:r w:rsidR="007B4041">
        <w:rPr>
          <w:rFonts w:asciiTheme="minorHAnsi" w:hAnsiTheme="minorHAnsi" w:cstheme="minorHAnsi"/>
          <w:lang w:eastAsia="en-US"/>
        </w:rPr>
        <w:t xml:space="preserve">fastsetter også </w:t>
      </w:r>
      <w:r w:rsidR="00807569">
        <w:rPr>
          <w:rFonts w:asciiTheme="minorHAnsi" w:hAnsiTheme="minorHAnsi" w:cstheme="minorHAnsi"/>
          <w:lang w:eastAsia="en-US"/>
        </w:rPr>
        <w:t>særlige regler for ansatte med vesentlig innvirkning på bankens risikoprofil</w:t>
      </w:r>
      <w:r w:rsidR="007B4041">
        <w:rPr>
          <w:rFonts w:asciiTheme="minorHAnsi" w:hAnsiTheme="minorHAnsi" w:cstheme="minorHAnsi"/>
          <w:lang w:eastAsia="en-US"/>
        </w:rPr>
        <w:t>,</w:t>
      </w:r>
      <w:r w:rsidR="00B05A06">
        <w:rPr>
          <w:rFonts w:asciiTheme="minorHAnsi" w:hAnsiTheme="minorHAnsi" w:cstheme="minorHAnsi"/>
          <w:lang w:eastAsia="en-US"/>
        </w:rPr>
        <w:t xml:space="preserve"> som definert i punkt 5.1 nedenfor</w:t>
      </w:r>
      <w:r w:rsidR="00177BD0">
        <w:rPr>
          <w:rFonts w:asciiTheme="minorHAnsi" w:hAnsiTheme="minorHAnsi" w:cstheme="minorHAnsi"/>
          <w:lang w:eastAsia="en-US"/>
        </w:rPr>
        <w:t xml:space="preserve"> og for ledende personer</w:t>
      </w:r>
      <w:r w:rsidRPr="00B566E2">
        <w:rPr>
          <w:rFonts w:asciiTheme="minorHAnsi" w:hAnsiTheme="minorHAnsi" w:cstheme="minorHAnsi"/>
          <w:lang w:eastAsia="en-US"/>
        </w:rPr>
        <w:t>.</w:t>
      </w:r>
      <w:r w:rsidR="0017636E">
        <w:rPr>
          <w:rFonts w:asciiTheme="minorHAnsi" w:hAnsiTheme="minorHAnsi" w:cstheme="minorHAnsi"/>
          <w:lang w:eastAsia="en-US"/>
        </w:rPr>
        <w:t xml:space="preserve"> </w:t>
      </w:r>
      <w:r w:rsidR="002420C2" w:rsidRPr="002420C2">
        <w:rPr>
          <w:rFonts w:asciiTheme="minorHAnsi" w:hAnsiTheme="minorHAnsi" w:cstheme="minorHAnsi"/>
          <w:lang w:eastAsia="en-US"/>
        </w:rPr>
        <w:t>Ledende personer omfatter administrerende direktør, viseadministrerende direktør</w:t>
      </w:r>
      <w:r w:rsidR="0047184A">
        <w:rPr>
          <w:rFonts w:asciiTheme="minorHAnsi" w:hAnsiTheme="minorHAnsi" w:cstheme="minorHAnsi"/>
          <w:lang w:eastAsia="en-US"/>
        </w:rPr>
        <w:t>,</w:t>
      </w:r>
      <w:r w:rsidR="002420C2" w:rsidRPr="002420C2">
        <w:rPr>
          <w:rFonts w:asciiTheme="minorHAnsi" w:hAnsiTheme="minorHAnsi" w:cstheme="minorHAnsi"/>
          <w:lang w:eastAsia="en-US"/>
        </w:rPr>
        <w:t xml:space="preserve"> øvrige medlemmer av toppledergruppen</w:t>
      </w:r>
      <w:r w:rsidR="0047184A">
        <w:rPr>
          <w:rFonts w:asciiTheme="minorHAnsi" w:hAnsiTheme="minorHAnsi" w:cstheme="minorHAnsi"/>
          <w:lang w:eastAsia="en-US"/>
        </w:rPr>
        <w:t>, avdelingssjef risikostyring og avdelingssjef etterlevelse</w:t>
      </w:r>
      <w:r w:rsidR="002420C2" w:rsidRPr="002420C2">
        <w:rPr>
          <w:rFonts w:asciiTheme="minorHAnsi" w:hAnsiTheme="minorHAnsi" w:cstheme="minorHAnsi"/>
          <w:lang w:eastAsia="en-US"/>
        </w:rPr>
        <w:t xml:space="preserve">. Retningslinjene omfatter også lønn og godtgjørelse til styrets medlemmer. </w:t>
      </w:r>
    </w:p>
    <w:p w14:paraId="687777B1" w14:textId="77777777" w:rsidR="00F852F4" w:rsidRDefault="00F852F4" w:rsidP="0028189D">
      <w:pPr>
        <w:rPr>
          <w:lang w:eastAsia="en-US"/>
        </w:rPr>
      </w:pPr>
    </w:p>
    <w:p w14:paraId="13922E4B" w14:textId="589318D1" w:rsidR="00A41BC0" w:rsidRPr="00177BD0" w:rsidRDefault="00A41BC0" w:rsidP="0028189D">
      <w:pPr>
        <w:rPr>
          <w:rFonts w:asciiTheme="minorHAnsi" w:hAnsiTheme="minorHAnsi" w:cstheme="minorHAnsi"/>
          <w:lang w:eastAsia="en-US"/>
        </w:rPr>
      </w:pPr>
      <w:r w:rsidRPr="00177BD0">
        <w:rPr>
          <w:rFonts w:asciiTheme="minorHAnsi" w:hAnsiTheme="minorHAnsi" w:cstheme="minorHAnsi"/>
          <w:lang w:eastAsia="en-US"/>
        </w:rPr>
        <w:t>Etter at retningslinjene for fastsettelse av lønn og annen godtgjørelse til ledende personer ble behandlet av forstanderskapet den 24. mars 2022, har styret vedtatt følgende endringer:</w:t>
      </w:r>
    </w:p>
    <w:p w14:paraId="3618D38E" w14:textId="23A3D299" w:rsidR="00A41BC0" w:rsidRPr="00177BD0" w:rsidRDefault="00A41BC0" w:rsidP="00A41BC0">
      <w:pPr>
        <w:pStyle w:val="Listeavsnitt"/>
        <w:numPr>
          <w:ilvl w:val="0"/>
          <w:numId w:val="13"/>
        </w:numPr>
        <w:rPr>
          <w:rFonts w:asciiTheme="minorHAnsi" w:hAnsiTheme="minorHAnsi" w:cstheme="minorHAnsi"/>
          <w:lang w:eastAsia="en-US"/>
        </w:rPr>
      </w:pPr>
      <w:r w:rsidRPr="00177BD0">
        <w:rPr>
          <w:rFonts w:asciiTheme="minorHAnsi" w:hAnsiTheme="minorHAnsi" w:cstheme="minorHAnsi"/>
          <w:lang w:eastAsia="en-US"/>
        </w:rPr>
        <w:t>Retningslinjene for fastsettelse av lønn og annen godtgjørelse til ledende personer slås sammen med retningslinjene for fastsettelse av godtgjørelse i Sparebanken Øst</w:t>
      </w:r>
    </w:p>
    <w:p w14:paraId="54A8E16A" w14:textId="7F1D7729" w:rsidR="00A41BC0" w:rsidRPr="00177BD0" w:rsidRDefault="00A41BC0" w:rsidP="00FA039E">
      <w:pPr>
        <w:pStyle w:val="Listeavsnitt"/>
        <w:numPr>
          <w:ilvl w:val="0"/>
          <w:numId w:val="13"/>
        </w:numPr>
        <w:rPr>
          <w:rFonts w:asciiTheme="minorHAnsi" w:hAnsiTheme="minorHAnsi" w:cstheme="minorHAnsi"/>
          <w:lang w:eastAsia="en-US"/>
        </w:rPr>
      </w:pPr>
      <w:r w:rsidRPr="00177BD0">
        <w:rPr>
          <w:rFonts w:asciiTheme="minorHAnsi" w:hAnsiTheme="minorHAnsi" w:cstheme="minorHAnsi"/>
          <w:lang w:eastAsia="en-US"/>
        </w:rPr>
        <w:t>Det er tatt inn krav til variabel godtgjørelse, herunder generelle krav, grunnlaget for vurderingen av fastsettelse av variabel godtgjørelse, utbetaling av variabel godtgjørelse og fradrag og tilbakebetaling, som legger til rette for at styret senere kan beslutte innføring av variabel godtgjørelse</w:t>
      </w:r>
    </w:p>
    <w:p w14:paraId="5362FF13" w14:textId="77777777" w:rsidR="00A41BC0" w:rsidRDefault="00A41BC0" w:rsidP="0028189D">
      <w:pPr>
        <w:rPr>
          <w:rFonts w:asciiTheme="minorHAnsi" w:hAnsiTheme="minorHAnsi" w:cstheme="minorHAnsi"/>
          <w:lang w:eastAsia="en-US"/>
        </w:rPr>
      </w:pPr>
    </w:p>
    <w:p w14:paraId="038166A9" w14:textId="352DC077" w:rsidR="00EC3394" w:rsidRDefault="00F852F4" w:rsidP="0028189D">
      <w:pPr>
        <w:rPr>
          <w:lang w:eastAsia="en-US"/>
        </w:rPr>
      </w:pPr>
      <w:r>
        <w:rPr>
          <w:rFonts w:asciiTheme="minorHAnsi" w:hAnsiTheme="minorHAnsi" w:cstheme="minorHAnsi"/>
          <w:lang w:eastAsia="en-US"/>
        </w:rPr>
        <w:t>Retningslinjene for så vidt gjelder lønn og annen godtgjørelse til ledende personer skal behandles og godkjennes av forstanderskapet ved enhver vesentlig endring og minst hvert fjerde år. Disse retningslinjene ble godkjent av forstanderskapet den [dato] 2026.</w:t>
      </w:r>
    </w:p>
    <w:p w14:paraId="67401F80" w14:textId="77777777" w:rsidR="00EC3394" w:rsidRPr="00177BD0" w:rsidRDefault="00EC3394" w:rsidP="0028189D">
      <w:pPr>
        <w:rPr>
          <w:rFonts w:asciiTheme="minorHAnsi" w:hAnsiTheme="minorHAnsi" w:cstheme="minorHAnsi"/>
          <w:lang w:eastAsia="en-US"/>
        </w:rPr>
      </w:pPr>
    </w:p>
    <w:p w14:paraId="77122E0B" w14:textId="4ACAF5AF" w:rsidR="0028189D" w:rsidRPr="0028189D" w:rsidRDefault="00EC3394" w:rsidP="0028189D">
      <w:pPr>
        <w:rPr>
          <w:lang w:eastAsia="en-US"/>
        </w:rPr>
      </w:pPr>
      <w:r w:rsidRPr="00177BD0">
        <w:rPr>
          <w:rFonts w:asciiTheme="minorHAnsi" w:hAnsiTheme="minorHAnsi" w:cstheme="minorHAnsi"/>
          <w:lang w:eastAsia="en-US"/>
        </w:rPr>
        <w:t>Retningslinjene som er fremlagt for forstanderskapet skal uten opphold offentliggjøres på bankens nettsider, sammen med resultatet av avstemningen og dato for vedtaket.</w:t>
      </w:r>
    </w:p>
    <w:p w14:paraId="0F7D5250" w14:textId="77777777" w:rsidR="0028189D" w:rsidRPr="0028189D" w:rsidRDefault="0028189D" w:rsidP="0028189D">
      <w:pPr>
        <w:rPr>
          <w:lang w:eastAsia="en-US"/>
        </w:rPr>
      </w:pPr>
    </w:p>
    <w:p w14:paraId="55CB7358" w14:textId="77777777" w:rsidR="0028189D" w:rsidRPr="0028189D" w:rsidRDefault="0028189D" w:rsidP="0028189D">
      <w:pPr>
        <w:numPr>
          <w:ilvl w:val="0"/>
          <w:numId w:val="1"/>
        </w:numPr>
        <w:contextualSpacing/>
        <w:rPr>
          <w:rFonts w:asciiTheme="minorHAnsi" w:hAnsiTheme="minorHAnsi" w:cstheme="minorHAnsi"/>
          <w:b/>
          <w:lang w:eastAsia="en-US"/>
        </w:rPr>
      </w:pPr>
      <w:r w:rsidRPr="0028189D">
        <w:rPr>
          <w:rFonts w:asciiTheme="minorHAnsi" w:hAnsiTheme="minorHAnsi" w:cstheme="minorHAnsi"/>
          <w:b/>
          <w:lang w:eastAsia="en-US"/>
        </w:rPr>
        <w:t>Hvordan retningslinjene fremmer bankens forretningsstrategi, langsiktige interesser og økonomisk bæreevne</w:t>
      </w:r>
    </w:p>
    <w:p w14:paraId="7914DE37" w14:textId="77777777" w:rsidR="0028189D" w:rsidRPr="0028189D" w:rsidRDefault="0028189D" w:rsidP="0028189D">
      <w:pPr>
        <w:rPr>
          <w:lang w:eastAsia="en-US"/>
        </w:rPr>
      </w:pPr>
    </w:p>
    <w:p w14:paraId="309DEFB9" w14:textId="77777777" w:rsidR="0028189D" w:rsidRPr="0028189D" w:rsidRDefault="0028189D" w:rsidP="0028189D">
      <w:pPr>
        <w:autoSpaceDE w:val="0"/>
        <w:autoSpaceDN w:val="0"/>
        <w:adjustRightInd w:val="0"/>
        <w:rPr>
          <w:rFonts w:asciiTheme="minorHAnsi" w:hAnsiTheme="minorHAnsi" w:cstheme="minorHAnsi"/>
          <w:lang w:eastAsia="en-US"/>
        </w:rPr>
      </w:pPr>
      <w:r w:rsidRPr="0028189D">
        <w:rPr>
          <w:rFonts w:asciiTheme="minorHAnsi" w:hAnsiTheme="minorHAnsi" w:cstheme="minorHAnsi"/>
          <w:lang w:eastAsia="en-US"/>
        </w:rPr>
        <w:t>Sparebanken Øst har som visjon å være en ledende sparebank på det sentrale østlandsområdet. Bankens overordnede økonomiske mål er å være en lønnsom bank drevet etter forretningsmessige prinsipper. Det skal skapes økonomiske resultater i det enkelte år og over tid som bidrar til måloppnåelsen i konsernet.</w:t>
      </w:r>
    </w:p>
    <w:p w14:paraId="36025CE8" w14:textId="77777777" w:rsidR="0028189D" w:rsidRPr="0028189D" w:rsidRDefault="0028189D" w:rsidP="0028189D">
      <w:pPr>
        <w:rPr>
          <w:rFonts w:asciiTheme="minorHAnsi" w:hAnsiTheme="minorHAnsi" w:cstheme="minorHAnsi"/>
          <w:lang w:eastAsia="en-US"/>
        </w:rPr>
      </w:pPr>
    </w:p>
    <w:p w14:paraId="13B2FBD0" w14:textId="3268531A" w:rsidR="0028189D" w:rsidRPr="0028189D" w:rsidRDefault="0028189D" w:rsidP="0028189D">
      <w:pPr>
        <w:autoSpaceDE w:val="0"/>
        <w:autoSpaceDN w:val="0"/>
        <w:adjustRightInd w:val="0"/>
        <w:rPr>
          <w:rFonts w:asciiTheme="minorHAnsi" w:hAnsiTheme="minorHAnsi" w:cstheme="minorHAnsi"/>
          <w:lang w:eastAsia="en-US"/>
        </w:rPr>
      </w:pPr>
      <w:r w:rsidRPr="0028189D">
        <w:rPr>
          <w:rFonts w:asciiTheme="minorHAnsi" w:hAnsiTheme="minorHAnsi" w:cstheme="minorHAnsi"/>
          <w:lang w:eastAsia="en-US"/>
        </w:rPr>
        <w:t xml:space="preserve">Vi vil være en attraktiv arbeidsgiver som tilbyr konkurransedyktige betingelser for kompetente og ansvarsbevisste mennesker som bidrar aktivt til bankens resultater. Ansatte og ledende personer skal lønnes ut fra dyktighet, kompetanse, arbeidsinnsats, initiativ, samarbeidsevne og omstillingsevne. Dette skal bidra til at banken kan rekruttere og beholde </w:t>
      </w:r>
      <w:r w:rsidRPr="0028189D">
        <w:rPr>
          <w:rFonts w:asciiTheme="minorHAnsi" w:hAnsiTheme="minorHAnsi" w:cstheme="minorHAnsi"/>
          <w:lang w:eastAsia="en-US"/>
        </w:rPr>
        <w:lastRenderedPageBreak/>
        <w:t>kvalifiserte medarbeidere slik at banken når sine mål og strategier.</w:t>
      </w:r>
      <w:r w:rsidR="00C955C1">
        <w:rPr>
          <w:rFonts w:asciiTheme="minorHAnsi" w:hAnsiTheme="minorHAnsi" w:cstheme="minorHAnsi"/>
          <w:lang w:eastAsia="en-US"/>
        </w:rPr>
        <w:t xml:space="preserve"> </w:t>
      </w:r>
      <w:r w:rsidR="00C955C1" w:rsidRPr="00C955C1">
        <w:rPr>
          <w:rFonts w:asciiTheme="minorHAnsi" w:hAnsiTheme="minorHAnsi" w:cstheme="minorHAnsi"/>
          <w:lang w:eastAsia="en-US"/>
        </w:rPr>
        <w:t>Sparebanken Øst har som mål at det skal betales lik lønn for arbeid av lik verdi uavhengig av kjønn.</w:t>
      </w:r>
    </w:p>
    <w:p w14:paraId="547311A2" w14:textId="77777777" w:rsidR="0028189D" w:rsidRPr="0028189D" w:rsidRDefault="0028189D" w:rsidP="0028189D">
      <w:pPr>
        <w:rPr>
          <w:rFonts w:asciiTheme="minorHAnsi" w:hAnsiTheme="minorHAnsi" w:cstheme="minorHAnsi"/>
          <w:lang w:eastAsia="en-US"/>
        </w:rPr>
      </w:pPr>
    </w:p>
    <w:p w14:paraId="5D786118" w14:textId="373D6A0D" w:rsidR="0028189D" w:rsidRPr="0028189D" w:rsidRDefault="0028189D" w:rsidP="0028189D">
      <w:pPr>
        <w:rPr>
          <w:rFonts w:asciiTheme="minorHAnsi" w:hAnsiTheme="minorHAnsi" w:cstheme="minorHAnsi"/>
          <w:lang w:eastAsia="en-US"/>
        </w:rPr>
      </w:pPr>
      <w:r w:rsidRPr="0028189D">
        <w:rPr>
          <w:rFonts w:asciiTheme="minorHAnsi" w:hAnsiTheme="minorHAnsi" w:cstheme="minorHAnsi"/>
          <w:lang w:eastAsia="en-US"/>
        </w:rPr>
        <w:t xml:space="preserve">Fastlønn utgjør hovedinntekten til alle ansatte i Sparebanken Øst. Godtgjørelse utover fastlønn utgjør derfor en liten del av den ansattes inntekt. Dette gjelder også ledende </w:t>
      </w:r>
      <w:r w:rsidR="00F852F4">
        <w:rPr>
          <w:rFonts w:asciiTheme="minorHAnsi" w:hAnsiTheme="minorHAnsi" w:cstheme="minorHAnsi"/>
          <w:lang w:eastAsia="en-US"/>
        </w:rPr>
        <w:t>personer</w:t>
      </w:r>
      <w:r w:rsidRPr="0028189D">
        <w:rPr>
          <w:rFonts w:asciiTheme="minorHAnsi" w:hAnsiTheme="minorHAnsi" w:cstheme="minorHAnsi"/>
          <w:lang w:eastAsia="en-US"/>
        </w:rPr>
        <w:t xml:space="preserve">. Dette støtter oppunder bankens økonomiske strategi og bæreevne, mål, bankens lave risikoprofil og langsiktige interesser. Videre bidrar det til å redusere interessekonflikter mellom banken, ansatte og kunder. </w:t>
      </w:r>
    </w:p>
    <w:p w14:paraId="6E31CF7A" w14:textId="77777777" w:rsidR="0028189D" w:rsidRPr="0028189D" w:rsidRDefault="0028189D" w:rsidP="0028189D">
      <w:pPr>
        <w:rPr>
          <w:lang w:eastAsia="en-US"/>
        </w:rPr>
      </w:pPr>
    </w:p>
    <w:p w14:paraId="07F15B88" w14:textId="77777777" w:rsidR="0028189D" w:rsidRPr="0028189D" w:rsidRDefault="0028189D" w:rsidP="0028189D">
      <w:pPr>
        <w:rPr>
          <w:lang w:eastAsia="en-US"/>
        </w:rPr>
      </w:pPr>
    </w:p>
    <w:p w14:paraId="51512C93" w14:textId="77777777" w:rsidR="0028189D" w:rsidRPr="0028189D" w:rsidRDefault="0028189D" w:rsidP="0028189D">
      <w:pPr>
        <w:numPr>
          <w:ilvl w:val="0"/>
          <w:numId w:val="1"/>
        </w:numPr>
        <w:contextualSpacing/>
        <w:rPr>
          <w:rFonts w:asciiTheme="minorHAnsi" w:hAnsiTheme="minorHAnsi" w:cstheme="minorHAnsi"/>
          <w:b/>
          <w:lang w:eastAsia="en-US"/>
        </w:rPr>
      </w:pPr>
      <w:r w:rsidRPr="0028189D">
        <w:rPr>
          <w:rFonts w:asciiTheme="minorHAnsi" w:hAnsiTheme="minorHAnsi" w:cstheme="minorHAnsi"/>
          <w:b/>
          <w:lang w:eastAsia="en-US"/>
        </w:rPr>
        <w:t>Typer godtgjørelser</w:t>
      </w:r>
    </w:p>
    <w:p w14:paraId="3227D7C6" w14:textId="77777777" w:rsidR="0028189D" w:rsidRPr="0028189D" w:rsidRDefault="0028189D" w:rsidP="0028189D">
      <w:pPr>
        <w:rPr>
          <w:lang w:eastAsia="en-US"/>
        </w:rPr>
      </w:pPr>
    </w:p>
    <w:p w14:paraId="3D8D8EA3" w14:textId="1F7DD2B8" w:rsidR="0028189D" w:rsidRPr="0028189D" w:rsidRDefault="0028189D" w:rsidP="0028189D">
      <w:pPr>
        <w:rPr>
          <w:rFonts w:asciiTheme="minorHAnsi" w:hAnsiTheme="minorHAnsi" w:cstheme="minorHAnsi"/>
          <w:lang w:eastAsia="en-US"/>
        </w:rPr>
      </w:pPr>
      <w:r w:rsidRPr="0028189D">
        <w:rPr>
          <w:rFonts w:asciiTheme="minorHAnsi" w:hAnsiTheme="minorHAnsi" w:cstheme="minorHAnsi"/>
          <w:lang w:eastAsia="en-US"/>
        </w:rPr>
        <w:t xml:space="preserve">Godtgjørelsen til </w:t>
      </w:r>
      <w:r w:rsidR="003D0BAB">
        <w:rPr>
          <w:rFonts w:asciiTheme="minorHAnsi" w:hAnsiTheme="minorHAnsi" w:cstheme="minorHAnsi"/>
          <w:lang w:eastAsia="en-US"/>
        </w:rPr>
        <w:t xml:space="preserve">ansatte i Sparebanken Øst, inkludert </w:t>
      </w:r>
      <w:r w:rsidR="00F04328">
        <w:rPr>
          <w:rFonts w:asciiTheme="minorHAnsi" w:hAnsiTheme="minorHAnsi" w:cstheme="minorHAnsi"/>
          <w:lang w:eastAsia="en-US"/>
        </w:rPr>
        <w:t>ansatte med vesentlig innvirkning på bankens risikoprofil</w:t>
      </w:r>
      <w:r w:rsidR="00F852F4">
        <w:rPr>
          <w:rFonts w:asciiTheme="minorHAnsi" w:hAnsiTheme="minorHAnsi" w:cstheme="minorHAnsi"/>
          <w:lang w:eastAsia="en-US"/>
        </w:rPr>
        <w:t xml:space="preserve"> og ledende personer</w:t>
      </w:r>
      <w:r w:rsidR="00E56594">
        <w:rPr>
          <w:rFonts w:asciiTheme="minorHAnsi" w:hAnsiTheme="minorHAnsi" w:cstheme="minorHAnsi"/>
          <w:lang w:eastAsia="en-US"/>
        </w:rPr>
        <w:t>, unntatt styret,</w:t>
      </w:r>
      <w:r w:rsidR="003D0BAB" w:rsidRPr="0028189D">
        <w:rPr>
          <w:rFonts w:asciiTheme="minorHAnsi" w:hAnsiTheme="minorHAnsi" w:cstheme="minorHAnsi"/>
          <w:lang w:eastAsia="en-US"/>
        </w:rPr>
        <w:t xml:space="preserve"> </w:t>
      </w:r>
      <w:r w:rsidRPr="0028189D">
        <w:rPr>
          <w:rFonts w:asciiTheme="minorHAnsi" w:hAnsiTheme="minorHAnsi" w:cstheme="minorHAnsi"/>
          <w:lang w:eastAsia="en-US"/>
        </w:rPr>
        <w:t>kan i tillegg til fast lønn bestå av:</w:t>
      </w:r>
    </w:p>
    <w:p w14:paraId="7AA5D688" w14:textId="77777777" w:rsidR="0028189D" w:rsidRPr="0028189D" w:rsidRDefault="0028189D" w:rsidP="0028189D">
      <w:pPr>
        <w:numPr>
          <w:ilvl w:val="0"/>
          <w:numId w:val="2"/>
        </w:numPr>
        <w:rPr>
          <w:rFonts w:asciiTheme="minorHAnsi" w:hAnsiTheme="minorHAnsi" w:cstheme="minorHAnsi"/>
          <w:lang w:eastAsia="en-US"/>
        </w:rPr>
      </w:pPr>
      <w:r w:rsidRPr="0028189D">
        <w:rPr>
          <w:rFonts w:asciiTheme="minorHAnsi" w:hAnsiTheme="minorHAnsi" w:cstheme="minorHAnsi"/>
          <w:lang w:eastAsia="en-US"/>
        </w:rPr>
        <w:t xml:space="preserve">Overskuddsdeling inntil halvannen månedslønn </w:t>
      </w:r>
    </w:p>
    <w:p w14:paraId="47241F02" w14:textId="77777777" w:rsidR="0028189D" w:rsidRPr="0028189D" w:rsidRDefault="0028189D" w:rsidP="0028189D">
      <w:pPr>
        <w:numPr>
          <w:ilvl w:val="0"/>
          <w:numId w:val="2"/>
        </w:numPr>
        <w:rPr>
          <w:rFonts w:asciiTheme="minorHAnsi" w:hAnsiTheme="minorHAnsi" w:cstheme="minorHAnsi"/>
          <w:lang w:eastAsia="en-US"/>
        </w:rPr>
      </w:pPr>
      <w:r w:rsidRPr="0028189D">
        <w:rPr>
          <w:rFonts w:asciiTheme="minorHAnsi" w:hAnsiTheme="minorHAnsi" w:cstheme="minorHAnsi"/>
          <w:lang w:eastAsia="en-US"/>
        </w:rPr>
        <w:t>Pensjons- og forsikringsytelser</w:t>
      </w:r>
    </w:p>
    <w:p w14:paraId="4FC67674" w14:textId="77777777" w:rsidR="0028189D" w:rsidRPr="0028189D" w:rsidRDefault="0028189D" w:rsidP="0028189D">
      <w:pPr>
        <w:numPr>
          <w:ilvl w:val="0"/>
          <w:numId w:val="2"/>
        </w:numPr>
        <w:rPr>
          <w:rFonts w:asciiTheme="minorHAnsi" w:hAnsiTheme="minorHAnsi" w:cstheme="minorHAnsi"/>
          <w:lang w:eastAsia="en-US"/>
        </w:rPr>
      </w:pPr>
      <w:r w:rsidRPr="0028189D">
        <w:rPr>
          <w:rFonts w:asciiTheme="minorHAnsi" w:hAnsiTheme="minorHAnsi" w:cstheme="minorHAnsi"/>
          <w:lang w:eastAsia="en-US"/>
        </w:rPr>
        <w:t>Naturalytelser</w:t>
      </w:r>
    </w:p>
    <w:p w14:paraId="0BBB1B1B" w14:textId="5A35496C" w:rsidR="0028189D" w:rsidRDefault="0028189D" w:rsidP="0028189D">
      <w:pPr>
        <w:numPr>
          <w:ilvl w:val="0"/>
          <w:numId w:val="2"/>
        </w:numPr>
        <w:rPr>
          <w:rFonts w:asciiTheme="minorHAnsi" w:hAnsiTheme="minorHAnsi" w:cstheme="minorHAnsi"/>
          <w:lang w:eastAsia="en-US"/>
        </w:rPr>
      </w:pPr>
      <w:r w:rsidRPr="0028189D">
        <w:rPr>
          <w:rFonts w:asciiTheme="minorHAnsi" w:hAnsiTheme="minorHAnsi" w:cstheme="minorHAnsi"/>
          <w:lang w:eastAsia="en-US"/>
        </w:rPr>
        <w:t>Engangsstillegg for tidsbegrenset arbeid</w:t>
      </w:r>
    </w:p>
    <w:p w14:paraId="7C11CB2C" w14:textId="11605F64" w:rsidR="00D07ACF" w:rsidRDefault="00D07ACF" w:rsidP="0028189D">
      <w:pPr>
        <w:numPr>
          <w:ilvl w:val="0"/>
          <w:numId w:val="2"/>
        </w:numPr>
        <w:rPr>
          <w:rFonts w:asciiTheme="minorHAnsi" w:hAnsiTheme="minorHAnsi" w:cstheme="minorHAnsi"/>
          <w:lang w:eastAsia="en-US"/>
        </w:rPr>
      </w:pPr>
      <w:r>
        <w:rPr>
          <w:rFonts w:asciiTheme="minorHAnsi" w:hAnsiTheme="minorHAnsi" w:cstheme="minorHAnsi"/>
          <w:lang w:eastAsia="en-US"/>
        </w:rPr>
        <w:t>Andre former for variabel godtgjørelse besluttet av styret innenfor rammen av disse retningslinjene</w:t>
      </w:r>
    </w:p>
    <w:p w14:paraId="240BA1EB" w14:textId="52FFA99C" w:rsidR="0028189D" w:rsidRDefault="0028189D" w:rsidP="0028189D">
      <w:pPr>
        <w:rPr>
          <w:lang w:eastAsia="en-US"/>
        </w:rPr>
      </w:pPr>
    </w:p>
    <w:p w14:paraId="6D4F764E" w14:textId="77777777" w:rsidR="0028189D" w:rsidRPr="0028189D" w:rsidRDefault="0028189D" w:rsidP="0028189D">
      <w:pPr>
        <w:rPr>
          <w:lang w:eastAsia="en-US"/>
        </w:rPr>
      </w:pPr>
    </w:p>
    <w:p w14:paraId="1C7A888C" w14:textId="77777777" w:rsidR="0028189D" w:rsidRPr="0028189D" w:rsidRDefault="0028189D" w:rsidP="0028189D">
      <w:pPr>
        <w:numPr>
          <w:ilvl w:val="1"/>
          <w:numId w:val="1"/>
        </w:numPr>
        <w:contextualSpacing/>
        <w:rPr>
          <w:rFonts w:asciiTheme="minorHAnsi" w:hAnsiTheme="minorHAnsi" w:cstheme="minorHAnsi"/>
          <w:b/>
          <w:lang w:eastAsia="en-US"/>
        </w:rPr>
      </w:pPr>
      <w:r w:rsidRPr="0028189D">
        <w:rPr>
          <w:rFonts w:asciiTheme="minorHAnsi" w:hAnsiTheme="minorHAnsi" w:cstheme="minorHAnsi"/>
          <w:b/>
          <w:lang w:eastAsia="en-US"/>
        </w:rPr>
        <w:t xml:space="preserve">Fastlønn og generelle ordninger </w:t>
      </w:r>
    </w:p>
    <w:p w14:paraId="23D5203A" w14:textId="77777777" w:rsidR="0028189D" w:rsidRPr="0028189D" w:rsidRDefault="0028189D" w:rsidP="0028189D">
      <w:pPr>
        <w:rPr>
          <w:lang w:eastAsia="en-US"/>
        </w:rPr>
      </w:pPr>
    </w:p>
    <w:p w14:paraId="424221D8" w14:textId="1FCF9515" w:rsidR="0028189D" w:rsidRPr="0028189D" w:rsidRDefault="0028189D" w:rsidP="000A6855">
      <w:pPr>
        <w:rPr>
          <w:rFonts w:asciiTheme="minorHAnsi" w:hAnsiTheme="minorHAnsi" w:cstheme="minorHAnsi"/>
          <w:lang w:eastAsia="en-US"/>
        </w:rPr>
      </w:pPr>
      <w:r w:rsidRPr="0028189D">
        <w:rPr>
          <w:rFonts w:asciiTheme="minorHAnsi" w:hAnsiTheme="minorHAnsi" w:cstheme="minorHAnsi"/>
          <w:lang w:eastAsia="en-US"/>
        </w:rPr>
        <w:t xml:space="preserve">Fastlønnen utgjør hovedinntekten for </w:t>
      </w:r>
      <w:r w:rsidR="000A6855">
        <w:rPr>
          <w:rFonts w:asciiTheme="minorHAnsi" w:hAnsiTheme="minorHAnsi" w:cstheme="minorHAnsi"/>
          <w:lang w:eastAsia="en-US"/>
        </w:rPr>
        <w:t xml:space="preserve">alle ansatte i </w:t>
      </w:r>
      <w:r w:rsidRPr="0028189D">
        <w:rPr>
          <w:rFonts w:asciiTheme="minorHAnsi" w:hAnsiTheme="minorHAnsi" w:cstheme="minorHAnsi"/>
          <w:lang w:eastAsia="en-US"/>
        </w:rPr>
        <w:t>Sparebanken Øst</w:t>
      </w:r>
      <w:r w:rsidR="000A6855">
        <w:rPr>
          <w:rFonts w:asciiTheme="minorHAnsi" w:hAnsiTheme="minorHAnsi" w:cstheme="minorHAnsi"/>
          <w:lang w:eastAsia="en-US"/>
        </w:rPr>
        <w:t xml:space="preserve">, inkludert </w:t>
      </w:r>
      <w:r w:rsidR="00D07ACF">
        <w:rPr>
          <w:rFonts w:asciiTheme="minorHAnsi" w:hAnsiTheme="minorHAnsi" w:cstheme="minorHAnsi"/>
          <w:lang w:eastAsia="en-US"/>
        </w:rPr>
        <w:t>ansatte med vesentlig innvirkning på bankens risikoprofil</w:t>
      </w:r>
      <w:r w:rsidR="00F852F4">
        <w:rPr>
          <w:rFonts w:asciiTheme="minorHAnsi" w:hAnsiTheme="minorHAnsi" w:cstheme="minorHAnsi"/>
          <w:lang w:eastAsia="en-US"/>
        </w:rPr>
        <w:t xml:space="preserve"> og ledende personer</w:t>
      </w:r>
      <w:r w:rsidR="0017636E">
        <w:rPr>
          <w:rFonts w:asciiTheme="minorHAnsi" w:hAnsiTheme="minorHAnsi" w:cstheme="minorHAnsi"/>
          <w:lang w:eastAsia="en-US"/>
        </w:rPr>
        <w:t>, med unntak for styremedlemmer</w:t>
      </w:r>
      <w:r w:rsidR="000A6855">
        <w:rPr>
          <w:rFonts w:asciiTheme="minorHAnsi" w:hAnsiTheme="minorHAnsi" w:cstheme="minorHAnsi"/>
          <w:lang w:eastAsia="en-US"/>
        </w:rPr>
        <w:t>.</w:t>
      </w:r>
    </w:p>
    <w:p w14:paraId="7E192DF6" w14:textId="77777777" w:rsidR="0028189D" w:rsidRPr="0028189D" w:rsidRDefault="0028189D" w:rsidP="0028189D">
      <w:pPr>
        <w:rPr>
          <w:rFonts w:asciiTheme="minorHAnsi" w:hAnsiTheme="minorHAnsi" w:cstheme="minorHAnsi"/>
          <w:lang w:eastAsia="en-US"/>
        </w:rPr>
      </w:pPr>
    </w:p>
    <w:p w14:paraId="73B204A7" w14:textId="11CDDEE2" w:rsidR="00744434" w:rsidRPr="00744434" w:rsidRDefault="0028189D" w:rsidP="00744434">
      <w:pPr>
        <w:rPr>
          <w:rFonts w:asciiTheme="minorHAnsi" w:hAnsiTheme="minorHAnsi" w:cstheme="minorHAnsi"/>
          <w:lang w:eastAsia="en-US"/>
        </w:rPr>
      </w:pPr>
      <w:r w:rsidRPr="0028189D">
        <w:rPr>
          <w:rFonts w:asciiTheme="minorHAnsi" w:hAnsiTheme="minorHAnsi" w:cstheme="minorHAnsi"/>
          <w:lang w:eastAsia="en-US"/>
        </w:rPr>
        <w:t xml:space="preserve">Styret fastsetter lønn og godtgjørelse til administrerende direktør. </w:t>
      </w:r>
      <w:r w:rsidR="00744434" w:rsidRPr="00744434">
        <w:rPr>
          <w:rFonts w:asciiTheme="minorHAnsi" w:hAnsiTheme="minorHAnsi" w:cstheme="minorHAnsi"/>
          <w:lang w:eastAsia="en-US"/>
        </w:rPr>
        <w:t xml:space="preserve">Administrerende direktør fastsetter lønn og godtgjørelse til bankens direktører samt for avdelingssjef risikostyring og avdelingssjef etterlevelse. For andre ansatte som omfattes av disse retningslinjene fastsettes lønn i henhold til kapittel 3 i </w:t>
      </w:r>
      <w:r w:rsidR="00744434">
        <w:rPr>
          <w:rFonts w:asciiTheme="minorHAnsi" w:hAnsiTheme="minorHAnsi" w:cstheme="minorHAnsi"/>
          <w:lang w:eastAsia="en-US"/>
        </w:rPr>
        <w:t>Sentralavtalen</w:t>
      </w:r>
      <w:r w:rsidR="00744434" w:rsidRPr="00744434">
        <w:rPr>
          <w:rFonts w:asciiTheme="minorHAnsi" w:hAnsiTheme="minorHAnsi" w:cstheme="minorHAnsi"/>
          <w:lang w:eastAsia="en-US"/>
        </w:rPr>
        <w:t xml:space="preserve"> og kapittel 3 i </w:t>
      </w:r>
      <w:r w:rsidR="00744434">
        <w:rPr>
          <w:rFonts w:asciiTheme="minorHAnsi" w:hAnsiTheme="minorHAnsi" w:cstheme="minorHAnsi"/>
          <w:lang w:eastAsia="en-US"/>
        </w:rPr>
        <w:t>Bedriftsavtalen</w:t>
      </w:r>
      <w:r w:rsidR="00744434" w:rsidRPr="00744434">
        <w:rPr>
          <w:rFonts w:asciiTheme="minorHAnsi" w:hAnsiTheme="minorHAnsi" w:cstheme="minorHAnsi"/>
          <w:lang w:eastAsia="en-US"/>
        </w:rPr>
        <w:t xml:space="preserve"> for ansatte som er lønnet innenfor lønnsregulativet. Lønn og annen godtgjørelse for ansatte som er lønnet over lønnsregulativet fastsettes av administrerende direktør. </w:t>
      </w:r>
    </w:p>
    <w:p w14:paraId="7D60E66A" w14:textId="77777777" w:rsidR="0028189D" w:rsidRPr="0028189D" w:rsidRDefault="0028189D" w:rsidP="0028189D">
      <w:pPr>
        <w:rPr>
          <w:lang w:eastAsia="en-US"/>
        </w:rPr>
      </w:pPr>
    </w:p>
    <w:p w14:paraId="09747416" w14:textId="77777777" w:rsidR="0028189D" w:rsidRPr="0028189D" w:rsidRDefault="0028189D" w:rsidP="0028189D">
      <w:pPr>
        <w:rPr>
          <w:lang w:eastAsia="en-US"/>
        </w:rPr>
      </w:pPr>
    </w:p>
    <w:p w14:paraId="29CBB714" w14:textId="58CF3F3D" w:rsidR="00152160" w:rsidRDefault="00152160" w:rsidP="0028189D">
      <w:pPr>
        <w:numPr>
          <w:ilvl w:val="1"/>
          <w:numId w:val="1"/>
        </w:numPr>
        <w:contextualSpacing/>
        <w:rPr>
          <w:rFonts w:asciiTheme="minorHAnsi" w:hAnsiTheme="minorHAnsi" w:cstheme="minorHAnsi"/>
          <w:b/>
          <w:lang w:eastAsia="en-US"/>
        </w:rPr>
      </w:pPr>
      <w:r>
        <w:rPr>
          <w:rFonts w:asciiTheme="minorHAnsi" w:hAnsiTheme="minorHAnsi" w:cstheme="minorHAnsi"/>
          <w:b/>
          <w:lang w:eastAsia="en-US"/>
        </w:rPr>
        <w:t>Variable godtgjørelser</w:t>
      </w:r>
    </w:p>
    <w:p w14:paraId="72A62B5D" w14:textId="078D2EAC" w:rsidR="00152160" w:rsidRPr="00A56D65" w:rsidRDefault="00152160" w:rsidP="00A56D65">
      <w:pPr>
        <w:autoSpaceDE w:val="0"/>
        <w:autoSpaceDN w:val="0"/>
        <w:adjustRightInd w:val="0"/>
        <w:rPr>
          <w:rFonts w:asciiTheme="minorHAnsi" w:hAnsiTheme="minorHAnsi" w:cstheme="minorHAnsi"/>
          <w:lang w:eastAsia="en-US"/>
        </w:rPr>
      </w:pPr>
      <w:r w:rsidRPr="00A56D65">
        <w:rPr>
          <w:rFonts w:asciiTheme="minorHAnsi" w:hAnsiTheme="minorHAnsi" w:cstheme="minorHAnsi"/>
          <w:lang w:eastAsia="en-US"/>
        </w:rPr>
        <w:t xml:space="preserve">Det foreligger en generell ordning for overskuddsdeling som gjelder alle ansatte i Sparebanken Øst. Grunnlaget for den generelle overskuddsdelingen er knyttet opp mot bankens overordnede målsetninger. De to målepunktene som benyttes er egenkapitalrentabilitet og netto vekst utlån i prosent. Disse vektes 50 prosent hver. </w:t>
      </w:r>
      <w:r w:rsidR="00361E4F">
        <w:rPr>
          <w:rFonts w:asciiTheme="minorHAnsi" w:hAnsiTheme="minorHAnsi" w:cstheme="minorHAnsi"/>
          <w:lang w:eastAsia="en-US"/>
        </w:rPr>
        <w:t xml:space="preserve">Det er styret som hvert </w:t>
      </w:r>
      <w:r w:rsidR="001B55B3">
        <w:rPr>
          <w:rFonts w:asciiTheme="minorHAnsi" w:hAnsiTheme="minorHAnsi" w:cstheme="minorHAnsi"/>
          <w:lang w:eastAsia="en-US"/>
        </w:rPr>
        <w:t>år beslutter hvorvidt ordningen skal komme til anvendelse det etterfølgende året.</w:t>
      </w:r>
      <w:r w:rsidRPr="00A56D65">
        <w:rPr>
          <w:rFonts w:asciiTheme="minorHAnsi" w:hAnsiTheme="minorHAnsi" w:cstheme="minorHAnsi"/>
          <w:lang w:eastAsia="en-US"/>
        </w:rPr>
        <w:t xml:space="preserve">. Overskuddsdelingen utbetales kontant og kan maksimalt utgjøre halvannen månedslønn. Ordningen omfattes ikke av godtgjørelsesreglene jamfør Finanstilsynets rundskriv 2/2020. </w:t>
      </w:r>
    </w:p>
    <w:p w14:paraId="6BDA718A" w14:textId="77777777" w:rsidR="00152160" w:rsidRPr="00A56D65" w:rsidRDefault="00152160" w:rsidP="00A56D65">
      <w:pPr>
        <w:rPr>
          <w:rFonts w:asciiTheme="minorHAnsi" w:hAnsiTheme="minorHAnsi" w:cstheme="minorHAnsi"/>
          <w:lang w:eastAsia="en-US"/>
        </w:rPr>
      </w:pPr>
    </w:p>
    <w:p w14:paraId="3642A48F" w14:textId="35F0E4DD" w:rsidR="00152160" w:rsidRPr="00A56D65" w:rsidRDefault="00152160" w:rsidP="00A56D65">
      <w:pPr>
        <w:rPr>
          <w:rFonts w:asciiTheme="minorHAnsi" w:hAnsiTheme="minorHAnsi" w:cstheme="minorHAnsi"/>
          <w:lang w:eastAsia="en-US"/>
        </w:rPr>
      </w:pPr>
      <w:r w:rsidRPr="00A56D65">
        <w:rPr>
          <w:rFonts w:asciiTheme="minorHAnsi" w:hAnsiTheme="minorHAnsi" w:cstheme="minorHAnsi"/>
          <w:lang w:eastAsia="en-US"/>
        </w:rPr>
        <w:t xml:space="preserve">Det er etablert rammer for et spareprogram i egenkapitalbevis for ansatte i Sparebanken Øst. Ansatte kan tegne seg for kjøp av egenkapitalbevis for inntil kr. 30.000 til en rabatt på </w:t>
      </w:r>
      <w:r w:rsidRPr="00A56D65">
        <w:rPr>
          <w:rFonts w:asciiTheme="minorHAnsi" w:hAnsiTheme="minorHAnsi" w:cstheme="minorHAnsi"/>
          <w:lang w:eastAsia="en-US"/>
        </w:rPr>
        <w:lastRenderedPageBreak/>
        <w:t>25 %. Det vil være 12 måneders bindingstid på egenkapitalbevisene kjøpt i programmet. Spareprogrammet vil være en alminnelig ordning i selskapet og omfatter alle ansatte inkludert ansatte med vesentlig innvirkning på bankens risikoprofil</w:t>
      </w:r>
      <w:r w:rsidR="001B55B3">
        <w:rPr>
          <w:rFonts w:asciiTheme="minorHAnsi" w:hAnsiTheme="minorHAnsi" w:cstheme="minorHAnsi"/>
          <w:lang w:eastAsia="en-US"/>
        </w:rPr>
        <w:t xml:space="preserve"> og ledende personer</w:t>
      </w:r>
      <w:r w:rsidRPr="00A56D65">
        <w:rPr>
          <w:rFonts w:asciiTheme="minorHAnsi" w:hAnsiTheme="minorHAnsi" w:cstheme="minorHAnsi"/>
          <w:lang w:eastAsia="en-US"/>
        </w:rPr>
        <w:t>, unntatt styremedlemmer.</w:t>
      </w:r>
    </w:p>
    <w:p w14:paraId="35AFCB4E" w14:textId="77777777" w:rsidR="00152160" w:rsidRPr="00A56D65" w:rsidRDefault="00152160" w:rsidP="00A56D65">
      <w:pPr>
        <w:rPr>
          <w:rFonts w:asciiTheme="minorHAnsi" w:hAnsiTheme="minorHAnsi" w:cstheme="minorHAnsi"/>
          <w:lang w:eastAsia="en-US"/>
        </w:rPr>
      </w:pPr>
    </w:p>
    <w:p w14:paraId="34174282" w14:textId="05FCBA4C" w:rsidR="00152160" w:rsidRPr="0028189D" w:rsidRDefault="00152160" w:rsidP="00A56D65">
      <w:pPr>
        <w:rPr>
          <w:lang w:eastAsia="en-US"/>
        </w:rPr>
      </w:pPr>
      <w:r w:rsidRPr="00A56D65">
        <w:rPr>
          <w:rFonts w:asciiTheme="minorHAnsi" w:hAnsiTheme="minorHAnsi" w:cstheme="minorHAnsi"/>
          <w:lang w:eastAsia="en-US"/>
        </w:rPr>
        <w:t>Styret kan beslutte innføring av andre godtgjørelser i form av bonus, opsjoner, tildeling av aksjer/egenkapitalbevis, tegningsretter eller andre former for godtgjørelse knyttet til aksjer/egenkapitalbevis eller utvikling av aksje-/egenkapital kurser i banken eller konsernet</w:t>
      </w:r>
      <w:r w:rsidR="001B55B3">
        <w:rPr>
          <w:rFonts w:asciiTheme="minorHAnsi" w:hAnsiTheme="minorHAnsi" w:cstheme="minorHAnsi"/>
          <w:lang w:eastAsia="en-US"/>
        </w:rPr>
        <w:t xml:space="preserve"> innenfor rammen av disse retningslinjene</w:t>
      </w:r>
      <w:r w:rsidRPr="00A56D65">
        <w:rPr>
          <w:rFonts w:asciiTheme="minorHAnsi" w:hAnsiTheme="minorHAnsi" w:cstheme="minorHAnsi"/>
          <w:lang w:eastAsia="en-US"/>
        </w:rPr>
        <w:t>.</w:t>
      </w:r>
    </w:p>
    <w:p w14:paraId="5DA585F6" w14:textId="77777777" w:rsidR="00152160" w:rsidRDefault="00152160" w:rsidP="00A56D65">
      <w:pPr>
        <w:rPr>
          <w:lang w:eastAsia="en-US"/>
        </w:rPr>
      </w:pPr>
    </w:p>
    <w:p w14:paraId="539621F8" w14:textId="31DDECA1" w:rsidR="0028189D" w:rsidRPr="0028189D" w:rsidRDefault="0028189D" w:rsidP="0028189D">
      <w:pPr>
        <w:numPr>
          <w:ilvl w:val="1"/>
          <w:numId w:val="1"/>
        </w:numPr>
        <w:contextualSpacing/>
        <w:rPr>
          <w:rFonts w:asciiTheme="minorHAnsi" w:hAnsiTheme="minorHAnsi" w:cstheme="minorHAnsi"/>
          <w:b/>
          <w:lang w:eastAsia="en-US"/>
        </w:rPr>
      </w:pPr>
      <w:r w:rsidRPr="0028189D">
        <w:rPr>
          <w:rFonts w:asciiTheme="minorHAnsi" w:hAnsiTheme="minorHAnsi" w:cstheme="minorHAnsi"/>
          <w:b/>
          <w:lang w:eastAsia="en-US"/>
        </w:rPr>
        <w:t>Godtgjørelse til styremedlemmer</w:t>
      </w:r>
    </w:p>
    <w:p w14:paraId="41A206DA" w14:textId="77777777" w:rsidR="0028189D" w:rsidRPr="0028189D" w:rsidRDefault="0028189D" w:rsidP="0028189D">
      <w:pPr>
        <w:rPr>
          <w:rFonts w:asciiTheme="minorHAnsi" w:hAnsiTheme="minorHAnsi" w:cstheme="minorHAnsi"/>
          <w:lang w:eastAsia="en-US"/>
        </w:rPr>
      </w:pPr>
    </w:p>
    <w:p w14:paraId="7FEDB847" w14:textId="7FC6A308" w:rsidR="0028189D" w:rsidRPr="0028189D" w:rsidRDefault="0028189D" w:rsidP="0028189D">
      <w:pPr>
        <w:rPr>
          <w:rFonts w:asciiTheme="minorHAnsi" w:hAnsiTheme="minorHAnsi" w:cstheme="minorHAnsi"/>
          <w:lang w:eastAsia="en-US"/>
        </w:rPr>
      </w:pPr>
      <w:r w:rsidRPr="0028189D">
        <w:rPr>
          <w:rFonts w:asciiTheme="minorHAnsi" w:hAnsiTheme="minorHAnsi" w:cstheme="minorHAnsi"/>
          <w:lang w:eastAsia="en-US"/>
        </w:rPr>
        <w:t xml:space="preserve">For styremedlemmer gis det kun godtgjørelse i form av et fast årlig kronebeløp. Dette kronebeløpet fastsettes årlig av forstanderskapet. Det tilfaller ingen annen godtgjørelse til styrets medlemmer. Ansatte som er medlem av </w:t>
      </w:r>
      <w:r w:rsidR="008C3308" w:rsidRPr="0028189D">
        <w:rPr>
          <w:rFonts w:asciiTheme="minorHAnsi" w:hAnsiTheme="minorHAnsi" w:cstheme="minorHAnsi"/>
          <w:lang w:eastAsia="en-US"/>
        </w:rPr>
        <w:t>styret,</w:t>
      </w:r>
      <w:r w:rsidRPr="0028189D">
        <w:rPr>
          <w:rFonts w:asciiTheme="minorHAnsi" w:hAnsiTheme="minorHAnsi" w:cstheme="minorHAnsi"/>
          <w:lang w:eastAsia="en-US"/>
        </w:rPr>
        <w:t xml:space="preserve"> mottar kun et fast årlig kronebeløp for styrevervet. </w:t>
      </w:r>
      <w:proofErr w:type="gramStart"/>
      <w:r w:rsidRPr="0028189D">
        <w:rPr>
          <w:rFonts w:asciiTheme="minorHAnsi" w:hAnsiTheme="minorHAnsi" w:cstheme="minorHAnsi"/>
          <w:lang w:eastAsia="en-US"/>
        </w:rPr>
        <w:t>For øvrig</w:t>
      </w:r>
      <w:proofErr w:type="gramEnd"/>
      <w:r w:rsidRPr="0028189D">
        <w:rPr>
          <w:rFonts w:asciiTheme="minorHAnsi" w:hAnsiTheme="minorHAnsi" w:cstheme="minorHAnsi"/>
          <w:lang w:eastAsia="en-US"/>
        </w:rPr>
        <w:t xml:space="preserve"> mottar de fastlønn som ansatte, deltar i den generelle ordningen for overskuddsdeling og kan motta tilleggsytelser på lik linje med andre ansatte.</w:t>
      </w:r>
    </w:p>
    <w:p w14:paraId="30778494" w14:textId="77777777" w:rsidR="00A56D65" w:rsidRDefault="00A56D65" w:rsidP="0028189D">
      <w:pPr>
        <w:rPr>
          <w:rFonts w:asciiTheme="minorHAnsi" w:hAnsiTheme="minorHAnsi" w:cstheme="minorHAnsi"/>
          <w:lang w:eastAsia="en-US"/>
        </w:rPr>
      </w:pPr>
    </w:p>
    <w:p w14:paraId="2C9BB84A" w14:textId="77777777" w:rsidR="0028189D" w:rsidRPr="0028189D" w:rsidRDefault="0028189D" w:rsidP="0028189D">
      <w:pPr>
        <w:rPr>
          <w:rFonts w:asciiTheme="minorHAnsi" w:hAnsiTheme="minorHAnsi" w:cstheme="minorHAnsi"/>
          <w:lang w:eastAsia="en-US"/>
        </w:rPr>
      </w:pPr>
    </w:p>
    <w:p w14:paraId="6CF9B0F8" w14:textId="77777777" w:rsidR="0028189D" w:rsidRPr="0028189D" w:rsidRDefault="0028189D" w:rsidP="0028189D">
      <w:pPr>
        <w:numPr>
          <w:ilvl w:val="1"/>
          <w:numId w:val="1"/>
        </w:numPr>
        <w:contextualSpacing/>
        <w:rPr>
          <w:rFonts w:asciiTheme="minorHAnsi" w:hAnsiTheme="minorHAnsi" w:cstheme="minorHAnsi"/>
          <w:b/>
          <w:lang w:eastAsia="en-US"/>
        </w:rPr>
      </w:pPr>
      <w:r w:rsidRPr="0028189D">
        <w:rPr>
          <w:rFonts w:asciiTheme="minorHAnsi" w:hAnsiTheme="minorHAnsi" w:cstheme="minorHAnsi"/>
          <w:b/>
          <w:lang w:eastAsia="en-US"/>
        </w:rPr>
        <w:t>Pensjons- og forsikringsytelser</w:t>
      </w:r>
    </w:p>
    <w:p w14:paraId="4206FBE0" w14:textId="77777777" w:rsidR="0028189D" w:rsidRPr="0028189D" w:rsidRDefault="0028189D" w:rsidP="0028189D">
      <w:pPr>
        <w:rPr>
          <w:rFonts w:asciiTheme="minorHAnsi" w:hAnsiTheme="minorHAnsi" w:cstheme="minorHAnsi"/>
          <w:lang w:eastAsia="en-US"/>
        </w:rPr>
      </w:pPr>
    </w:p>
    <w:p w14:paraId="20F99BDD" w14:textId="08058F19" w:rsidR="0028189D" w:rsidRPr="0028189D" w:rsidRDefault="00975C7B" w:rsidP="0028189D">
      <w:pPr>
        <w:autoSpaceDE w:val="0"/>
        <w:autoSpaceDN w:val="0"/>
        <w:adjustRightInd w:val="0"/>
        <w:rPr>
          <w:rFonts w:asciiTheme="minorHAnsi" w:hAnsiTheme="minorHAnsi" w:cstheme="minorHAnsi"/>
          <w:lang w:eastAsia="en-US"/>
        </w:rPr>
      </w:pPr>
      <w:r>
        <w:rPr>
          <w:rFonts w:asciiTheme="minorHAnsi" w:hAnsiTheme="minorHAnsi" w:cstheme="minorHAnsi"/>
          <w:lang w:eastAsia="en-US"/>
        </w:rPr>
        <w:t xml:space="preserve">Bankens pensjonsordning skal være i samsvar med bankens forretningsstrategi, overordnede mål, verdier og langsiktige interesser. </w:t>
      </w:r>
      <w:r w:rsidR="008C3308" w:rsidRPr="00606180">
        <w:rPr>
          <w:rFonts w:asciiTheme="minorHAnsi" w:hAnsiTheme="minorHAnsi" w:cstheme="minorHAnsi"/>
          <w:lang w:eastAsia="en-US"/>
        </w:rPr>
        <w:t xml:space="preserve">Ansatte i Sparebanken Øst opparbeider pensjonsrettigheter i henhold til de til enhver tid gjeldende kollektive pensjonsordninger. </w:t>
      </w:r>
      <w:r w:rsidR="0017636E">
        <w:rPr>
          <w:rFonts w:asciiTheme="minorHAnsi" w:hAnsiTheme="minorHAnsi" w:cstheme="minorHAnsi"/>
          <w:lang w:eastAsia="en-US"/>
        </w:rPr>
        <w:t>Ansatte med vesentlig innvirkning på bankens risikoprofil</w:t>
      </w:r>
      <w:r w:rsidR="001B55B3">
        <w:rPr>
          <w:rFonts w:asciiTheme="minorHAnsi" w:hAnsiTheme="minorHAnsi" w:cstheme="minorHAnsi"/>
          <w:lang w:eastAsia="en-US"/>
        </w:rPr>
        <w:t xml:space="preserve"> og ledende personer</w:t>
      </w:r>
      <w:r w:rsidR="0017636E">
        <w:rPr>
          <w:rFonts w:asciiTheme="minorHAnsi" w:hAnsiTheme="minorHAnsi" w:cstheme="minorHAnsi"/>
          <w:lang w:eastAsia="en-US"/>
        </w:rPr>
        <w:t>, unnta</w:t>
      </w:r>
      <w:r w:rsidR="002A6145">
        <w:rPr>
          <w:rFonts w:asciiTheme="minorHAnsi" w:hAnsiTheme="minorHAnsi" w:cstheme="minorHAnsi"/>
          <w:lang w:eastAsia="en-US"/>
        </w:rPr>
        <w:t>tt</w:t>
      </w:r>
      <w:r w:rsidR="0017636E">
        <w:rPr>
          <w:rFonts w:asciiTheme="minorHAnsi" w:hAnsiTheme="minorHAnsi" w:cstheme="minorHAnsi"/>
          <w:lang w:eastAsia="en-US"/>
        </w:rPr>
        <w:t xml:space="preserve"> styremedlemmer</w:t>
      </w:r>
      <w:r w:rsidR="0028189D" w:rsidRPr="00606180">
        <w:rPr>
          <w:rFonts w:asciiTheme="minorHAnsi" w:hAnsiTheme="minorHAnsi" w:cstheme="minorHAnsi"/>
          <w:lang w:eastAsia="en-US"/>
        </w:rPr>
        <w:t xml:space="preserve"> i Sparebanken Øst inngår i de kollektive </w:t>
      </w:r>
      <w:r w:rsidR="0028189D" w:rsidRPr="0028189D">
        <w:rPr>
          <w:rFonts w:asciiTheme="minorHAnsi" w:hAnsiTheme="minorHAnsi" w:cstheme="minorHAnsi"/>
          <w:lang w:eastAsia="en-US"/>
        </w:rPr>
        <w:t>pensjonsordningene med pensjonsalder 70 år og pensjonsgrunnlag begrenset til 12G.</w:t>
      </w:r>
    </w:p>
    <w:p w14:paraId="22DD3ECF" w14:textId="77777777" w:rsidR="0028189D" w:rsidRPr="0028189D" w:rsidRDefault="0028189D" w:rsidP="0028189D">
      <w:pPr>
        <w:autoSpaceDE w:val="0"/>
        <w:autoSpaceDN w:val="0"/>
        <w:adjustRightInd w:val="0"/>
        <w:rPr>
          <w:rFonts w:asciiTheme="minorHAnsi" w:hAnsiTheme="minorHAnsi" w:cstheme="minorHAnsi"/>
          <w:lang w:eastAsia="en-US"/>
        </w:rPr>
      </w:pPr>
    </w:p>
    <w:p w14:paraId="1CBF56A8" w14:textId="1A8ADD10" w:rsidR="0028189D" w:rsidRPr="0028189D" w:rsidRDefault="0028189D" w:rsidP="0028189D">
      <w:pPr>
        <w:autoSpaceDE w:val="0"/>
        <w:autoSpaceDN w:val="0"/>
        <w:adjustRightInd w:val="0"/>
        <w:rPr>
          <w:rFonts w:asciiTheme="minorHAnsi" w:hAnsiTheme="minorHAnsi" w:cstheme="minorHAnsi"/>
          <w:lang w:eastAsia="en-US"/>
        </w:rPr>
      </w:pPr>
      <w:r w:rsidRPr="0028189D">
        <w:rPr>
          <w:rFonts w:asciiTheme="minorHAnsi" w:hAnsiTheme="minorHAnsi" w:cstheme="minorHAnsi"/>
          <w:lang w:eastAsia="en-US"/>
        </w:rPr>
        <w:t xml:space="preserve">Sparebanken Øst har kollektive ytelsesordninger i Storebrand Livsforsikring AS. Ytelsesordningene er lukkede ordninger. </w:t>
      </w:r>
      <w:r w:rsidR="008C3308">
        <w:rPr>
          <w:rFonts w:asciiTheme="minorHAnsi" w:hAnsiTheme="minorHAnsi" w:cstheme="minorHAnsi"/>
          <w:lang w:eastAsia="en-US"/>
        </w:rPr>
        <w:t>Ansatte og l</w:t>
      </w:r>
      <w:r w:rsidRPr="0028189D">
        <w:rPr>
          <w:rFonts w:asciiTheme="minorHAnsi" w:hAnsiTheme="minorHAnsi" w:cstheme="minorHAnsi"/>
          <w:lang w:eastAsia="en-US"/>
        </w:rPr>
        <w:t xml:space="preserve">edende </w:t>
      </w:r>
      <w:r w:rsidR="008C3308">
        <w:rPr>
          <w:rFonts w:asciiTheme="minorHAnsi" w:hAnsiTheme="minorHAnsi" w:cstheme="minorHAnsi"/>
          <w:lang w:eastAsia="en-US"/>
        </w:rPr>
        <w:t>ansatte som tiltrådte</w:t>
      </w:r>
      <w:r w:rsidRPr="0028189D">
        <w:rPr>
          <w:rFonts w:asciiTheme="minorHAnsi" w:hAnsiTheme="minorHAnsi" w:cstheme="minorHAnsi"/>
          <w:lang w:eastAsia="en-US"/>
        </w:rPr>
        <w:t xml:space="preserve"> før 2007 er medlemmer av denne ordningen for lønn opp til 12G.</w:t>
      </w:r>
    </w:p>
    <w:p w14:paraId="736C1B22" w14:textId="77777777" w:rsidR="0028189D" w:rsidRPr="0028189D" w:rsidRDefault="0028189D" w:rsidP="0028189D">
      <w:pPr>
        <w:autoSpaceDE w:val="0"/>
        <w:autoSpaceDN w:val="0"/>
        <w:adjustRightInd w:val="0"/>
        <w:rPr>
          <w:rFonts w:asciiTheme="minorHAnsi" w:hAnsiTheme="minorHAnsi" w:cstheme="minorHAnsi"/>
          <w:lang w:eastAsia="en-US"/>
        </w:rPr>
      </w:pPr>
    </w:p>
    <w:p w14:paraId="1559D8B9" w14:textId="0BD03F58" w:rsidR="0028189D" w:rsidRPr="0028189D" w:rsidRDefault="0028189D" w:rsidP="0028189D">
      <w:pPr>
        <w:autoSpaceDE w:val="0"/>
        <w:autoSpaceDN w:val="0"/>
        <w:adjustRightInd w:val="0"/>
        <w:rPr>
          <w:rFonts w:asciiTheme="minorHAnsi" w:hAnsiTheme="minorHAnsi" w:cstheme="minorHAnsi"/>
          <w:lang w:eastAsia="en-US"/>
        </w:rPr>
      </w:pPr>
      <w:r w:rsidRPr="0028189D">
        <w:rPr>
          <w:rFonts w:asciiTheme="minorHAnsi" w:hAnsiTheme="minorHAnsi" w:cstheme="minorHAnsi"/>
          <w:lang w:eastAsia="en-US"/>
        </w:rPr>
        <w:t xml:space="preserve">Fra 1. januar 2007 innførte Sparebanken Øst en kollektiv innskuddsbasert ordning. Innskuddssatsene er innenfor gjeldende regelverk i Lov om innskuddspensjon i arbeidsforhold. </w:t>
      </w:r>
      <w:r w:rsidR="008C3308">
        <w:rPr>
          <w:rFonts w:asciiTheme="minorHAnsi" w:hAnsiTheme="minorHAnsi" w:cstheme="minorHAnsi"/>
          <w:lang w:eastAsia="en-US"/>
        </w:rPr>
        <w:t>Ansatte og l</w:t>
      </w:r>
      <w:r w:rsidRPr="0028189D">
        <w:rPr>
          <w:rFonts w:asciiTheme="minorHAnsi" w:hAnsiTheme="minorHAnsi" w:cstheme="minorHAnsi"/>
          <w:lang w:eastAsia="en-US"/>
        </w:rPr>
        <w:t xml:space="preserve">edende ansatt </w:t>
      </w:r>
      <w:r w:rsidR="008C3308">
        <w:rPr>
          <w:rFonts w:asciiTheme="minorHAnsi" w:hAnsiTheme="minorHAnsi" w:cstheme="minorHAnsi"/>
          <w:lang w:eastAsia="en-US"/>
        </w:rPr>
        <w:t xml:space="preserve">som tiltrådte </w:t>
      </w:r>
      <w:r w:rsidRPr="0028189D">
        <w:rPr>
          <w:rFonts w:asciiTheme="minorHAnsi" w:hAnsiTheme="minorHAnsi" w:cstheme="minorHAnsi"/>
          <w:lang w:eastAsia="en-US"/>
        </w:rPr>
        <w:t>etter 2007 er medlemmer av denne ordningen for lønn opp til 12G.</w:t>
      </w:r>
    </w:p>
    <w:p w14:paraId="32DBDDF1" w14:textId="77777777" w:rsidR="0028189D" w:rsidRPr="0028189D" w:rsidRDefault="0028189D" w:rsidP="0028189D">
      <w:pPr>
        <w:autoSpaceDE w:val="0"/>
        <w:autoSpaceDN w:val="0"/>
        <w:adjustRightInd w:val="0"/>
        <w:rPr>
          <w:rFonts w:asciiTheme="minorHAnsi" w:hAnsiTheme="minorHAnsi" w:cstheme="minorHAnsi"/>
          <w:lang w:eastAsia="en-US"/>
        </w:rPr>
      </w:pPr>
    </w:p>
    <w:p w14:paraId="37DE2AE3" w14:textId="77777777" w:rsidR="0028189D" w:rsidRPr="0028189D" w:rsidRDefault="0028189D" w:rsidP="0028189D">
      <w:pPr>
        <w:autoSpaceDE w:val="0"/>
        <w:autoSpaceDN w:val="0"/>
        <w:adjustRightInd w:val="0"/>
        <w:rPr>
          <w:rFonts w:asciiTheme="minorHAnsi" w:hAnsiTheme="minorHAnsi" w:cstheme="minorHAnsi"/>
          <w:lang w:eastAsia="en-US"/>
        </w:rPr>
      </w:pPr>
      <w:r w:rsidRPr="0028189D">
        <w:rPr>
          <w:rFonts w:asciiTheme="minorHAnsi" w:hAnsiTheme="minorHAnsi" w:cstheme="minorHAnsi"/>
          <w:lang w:eastAsia="en-US"/>
        </w:rPr>
        <w:t>Individuelle, markedsbaserte pensjonsavtaler for lønn over 12G kan inngås av styret for administrerende direktør og av administrerende direktør for medlemmer av toppledergruppen.</w:t>
      </w:r>
    </w:p>
    <w:p w14:paraId="6120131D" w14:textId="77777777" w:rsidR="0028189D" w:rsidRPr="0028189D" w:rsidRDefault="0028189D" w:rsidP="0028189D">
      <w:pPr>
        <w:rPr>
          <w:rFonts w:asciiTheme="minorHAnsi" w:hAnsiTheme="minorHAnsi" w:cstheme="minorHAnsi"/>
          <w:lang w:eastAsia="en-US"/>
        </w:rPr>
      </w:pPr>
    </w:p>
    <w:p w14:paraId="268A38C5" w14:textId="77777777" w:rsidR="0028189D" w:rsidRPr="0028189D" w:rsidRDefault="0028189D" w:rsidP="0028189D">
      <w:pPr>
        <w:rPr>
          <w:rFonts w:asciiTheme="minorHAnsi" w:hAnsiTheme="minorHAnsi" w:cstheme="minorHAnsi"/>
          <w:lang w:eastAsia="en-US"/>
        </w:rPr>
      </w:pPr>
      <w:r w:rsidRPr="0028189D">
        <w:rPr>
          <w:rFonts w:asciiTheme="minorHAnsi" w:hAnsiTheme="minorHAnsi" w:cstheme="minorHAnsi"/>
          <w:lang w:eastAsia="en-US"/>
        </w:rPr>
        <w:t xml:space="preserve">Alle ansatte i Sparebanken Øst tilbys lovpålagte forsikringsordninger samt enkelte ikke-lovfestede ordninger, herunder helseforsikring. </w:t>
      </w:r>
    </w:p>
    <w:p w14:paraId="1FB0B35D" w14:textId="77777777" w:rsidR="0028189D" w:rsidRDefault="0028189D" w:rsidP="0028189D">
      <w:pPr>
        <w:autoSpaceDE w:val="0"/>
        <w:autoSpaceDN w:val="0"/>
        <w:adjustRightInd w:val="0"/>
        <w:rPr>
          <w:rFonts w:asciiTheme="minorHAnsi" w:hAnsiTheme="minorHAnsi" w:cstheme="minorHAnsi"/>
          <w:lang w:eastAsia="en-US"/>
        </w:rPr>
      </w:pPr>
    </w:p>
    <w:p w14:paraId="769C1121" w14:textId="77777777" w:rsidR="0009223E" w:rsidRDefault="0009223E" w:rsidP="0028189D">
      <w:pPr>
        <w:autoSpaceDE w:val="0"/>
        <w:autoSpaceDN w:val="0"/>
        <w:adjustRightInd w:val="0"/>
        <w:rPr>
          <w:rFonts w:asciiTheme="minorHAnsi" w:hAnsiTheme="minorHAnsi" w:cstheme="minorHAnsi"/>
          <w:lang w:eastAsia="en-US"/>
        </w:rPr>
      </w:pPr>
    </w:p>
    <w:p w14:paraId="7509317F" w14:textId="77777777" w:rsidR="0009223E" w:rsidRPr="0028189D" w:rsidRDefault="0009223E" w:rsidP="0028189D">
      <w:pPr>
        <w:autoSpaceDE w:val="0"/>
        <w:autoSpaceDN w:val="0"/>
        <w:adjustRightInd w:val="0"/>
        <w:rPr>
          <w:rFonts w:asciiTheme="minorHAnsi" w:hAnsiTheme="minorHAnsi" w:cstheme="minorHAnsi"/>
          <w:lang w:eastAsia="en-US"/>
        </w:rPr>
      </w:pPr>
    </w:p>
    <w:p w14:paraId="58DDA96F" w14:textId="77777777" w:rsidR="0028189D" w:rsidRPr="0028189D" w:rsidRDefault="0028189D" w:rsidP="0028189D">
      <w:pPr>
        <w:autoSpaceDE w:val="0"/>
        <w:autoSpaceDN w:val="0"/>
        <w:adjustRightInd w:val="0"/>
        <w:rPr>
          <w:rFonts w:asciiTheme="minorHAnsi" w:hAnsiTheme="minorHAnsi" w:cstheme="minorHAnsi"/>
          <w:lang w:eastAsia="en-US"/>
        </w:rPr>
      </w:pPr>
    </w:p>
    <w:p w14:paraId="4AB9FF6F" w14:textId="77777777" w:rsidR="0028189D" w:rsidRPr="0028189D" w:rsidRDefault="0028189D" w:rsidP="0028189D">
      <w:pPr>
        <w:numPr>
          <w:ilvl w:val="1"/>
          <w:numId w:val="1"/>
        </w:numPr>
        <w:contextualSpacing/>
        <w:rPr>
          <w:rFonts w:asciiTheme="minorHAnsi" w:hAnsiTheme="minorHAnsi" w:cstheme="minorHAnsi"/>
          <w:b/>
          <w:lang w:eastAsia="en-US"/>
        </w:rPr>
      </w:pPr>
      <w:r w:rsidRPr="0028189D">
        <w:rPr>
          <w:rFonts w:asciiTheme="minorHAnsi" w:hAnsiTheme="minorHAnsi" w:cstheme="minorHAnsi"/>
          <w:b/>
          <w:lang w:eastAsia="en-US"/>
        </w:rPr>
        <w:lastRenderedPageBreak/>
        <w:t>Naturalytelser</w:t>
      </w:r>
    </w:p>
    <w:p w14:paraId="5C8925AE" w14:textId="77777777" w:rsidR="0028189D" w:rsidRPr="0028189D" w:rsidRDefault="0028189D" w:rsidP="0028189D">
      <w:pPr>
        <w:rPr>
          <w:rFonts w:asciiTheme="minorHAnsi" w:hAnsiTheme="minorHAnsi" w:cstheme="minorHAnsi"/>
          <w:lang w:eastAsia="en-US"/>
        </w:rPr>
      </w:pPr>
    </w:p>
    <w:p w14:paraId="147774AE" w14:textId="27A1B3EC" w:rsidR="0028189D" w:rsidRPr="0028189D" w:rsidRDefault="00E56594" w:rsidP="0028189D">
      <w:pPr>
        <w:rPr>
          <w:rFonts w:asciiTheme="minorHAnsi" w:hAnsiTheme="minorHAnsi" w:cstheme="minorHAnsi"/>
          <w:lang w:eastAsia="en-US"/>
        </w:rPr>
      </w:pPr>
      <w:r>
        <w:rPr>
          <w:rFonts w:asciiTheme="minorHAnsi" w:hAnsiTheme="minorHAnsi" w:cstheme="minorHAnsi"/>
          <w:lang w:eastAsia="en-US"/>
        </w:rPr>
        <w:t>Ansatte med vesentlig innvirkning på bankens risikoprofil</w:t>
      </w:r>
      <w:r w:rsidR="001B55B3">
        <w:rPr>
          <w:rFonts w:asciiTheme="minorHAnsi" w:hAnsiTheme="minorHAnsi" w:cstheme="minorHAnsi"/>
          <w:lang w:eastAsia="en-US"/>
        </w:rPr>
        <w:t xml:space="preserve"> og ledende personer</w:t>
      </w:r>
      <w:r>
        <w:rPr>
          <w:rFonts w:asciiTheme="minorHAnsi" w:hAnsiTheme="minorHAnsi" w:cstheme="minorHAnsi"/>
          <w:lang w:eastAsia="en-US"/>
        </w:rPr>
        <w:t>, unntatt styremedlemmer</w:t>
      </w:r>
      <w:r w:rsidR="0028189D" w:rsidRPr="0028189D">
        <w:rPr>
          <w:rFonts w:asciiTheme="minorHAnsi" w:hAnsiTheme="minorHAnsi" w:cstheme="minorHAnsi"/>
          <w:lang w:eastAsia="en-US"/>
        </w:rPr>
        <w:t xml:space="preserve"> i Sparebanken Øst kan motta naturalytelser som er vanlige i banken og i sammenliknbare stillinger, for eksempel:</w:t>
      </w:r>
    </w:p>
    <w:p w14:paraId="45C40357" w14:textId="77777777" w:rsidR="0028189D" w:rsidRPr="0028189D" w:rsidRDefault="0028189D" w:rsidP="0028189D">
      <w:pPr>
        <w:numPr>
          <w:ilvl w:val="0"/>
          <w:numId w:val="3"/>
        </w:numPr>
        <w:contextualSpacing/>
        <w:rPr>
          <w:rFonts w:asciiTheme="minorHAnsi" w:hAnsiTheme="minorHAnsi" w:cstheme="minorHAnsi"/>
          <w:lang w:eastAsia="en-US"/>
        </w:rPr>
      </w:pPr>
      <w:r w:rsidRPr="0028189D">
        <w:rPr>
          <w:rFonts w:asciiTheme="minorHAnsi" w:hAnsiTheme="minorHAnsi" w:cstheme="minorHAnsi"/>
          <w:lang w:eastAsia="en-US"/>
        </w:rPr>
        <w:t>Låne-, innskudds- og forsikringsprodukter til ansattbetingelser</w:t>
      </w:r>
    </w:p>
    <w:p w14:paraId="0BC0E911" w14:textId="77777777" w:rsidR="0028189D" w:rsidRPr="0028189D" w:rsidRDefault="0028189D" w:rsidP="0028189D">
      <w:pPr>
        <w:numPr>
          <w:ilvl w:val="0"/>
          <w:numId w:val="3"/>
        </w:numPr>
        <w:contextualSpacing/>
        <w:rPr>
          <w:rFonts w:asciiTheme="minorHAnsi" w:hAnsiTheme="minorHAnsi" w:cstheme="minorHAnsi"/>
          <w:lang w:eastAsia="en-US"/>
        </w:rPr>
      </w:pPr>
      <w:r w:rsidRPr="0028189D">
        <w:rPr>
          <w:rFonts w:asciiTheme="minorHAnsi" w:hAnsiTheme="minorHAnsi" w:cstheme="minorHAnsi"/>
          <w:lang w:eastAsia="en-US"/>
        </w:rPr>
        <w:t xml:space="preserve">Fri telefon og bredbånd </w:t>
      </w:r>
    </w:p>
    <w:p w14:paraId="02B9D718" w14:textId="77777777" w:rsidR="0028189D" w:rsidRPr="0028189D" w:rsidRDefault="0028189D" w:rsidP="0028189D">
      <w:pPr>
        <w:numPr>
          <w:ilvl w:val="0"/>
          <w:numId w:val="3"/>
        </w:numPr>
        <w:contextualSpacing/>
        <w:rPr>
          <w:rFonts w:asciiTheme="minorHAnsi" w:hAnsiTheme="minorHAnsi" w:cstheme="minorHAnsi"/>
          <w:lang w:eastAsia="en-US"/>
        </w:rPr>
      </w:pPr>
      <w:r w:rsidRPr="0028189D">
        <w:rPr>
          <w:rFonts w:asciiTheme="minorHAnsi" w:hAnsiTheme="minorHAnsi" w:cstheme="minorHAnsi"/>
          <w:lang w:eastAsia="en-US"/>
        </w:rPr>
        <w:t xml:space="preserve">Avis </w:t>
      </w:r>
    </w:p>
    <w:p w14:paraId="2E7D63C0" w14:textId="77777777" w:rsidR="0028189D" w:rsidRPr="0028189D" w:rsidRDefault="0028189D" w:rsidP="0028189D">
      <w:pPr>
        <w:numPr>
          <w:ilvl w:val="0"/>
          <w:numId w:val="3"/>
        </w:numPr>
        <w:contextualSpacing/>
        <w:rPr>
          <w:rFonts w:asciiTheme="minorHAnsi" w:hAnsiTheme="minorHAnsi" w:cstheme="minorHAnsi"/>
          <w:lang w:eastAsia="en-US"/>
        </w:rPr>
      </w:pPr>
      <w:r w:rsidRPr="0028189D">
        <w:rPr>
          <w:rFonts w:asciiTheme="minorHAnsi" w:hAnsiTheme="minorHAnsi" w:cstheme="minorHAnsi"/>
          <w:lang w:eastAsia="en-US"/>
        </w:rPr>
        <w:t>Firmabil</w:t>
      </w:r>
    </w:p>
    <w:p w14:paraId="1B6880CA" w14:textId="77777777" w:rsidR="0028189D" w:rsidRPr="0028189D" w:rsidRDefault="0028189D" w:rsidP="0028189D">
      <w:pPr>
        <w:ind w:left="774"/>
        <w:contextualSpacing/>
        <w:rPr>
          <w:rFonts w:asciiTheme="minorHAnsi" w:hAnsiTheme="minorHAnsi" w:cstheme="minorHAnsi"/>
          <w:lang w:eastAsia="en-US"/>
        </w:rPr>
      </w:pPr>
    </w:p>
    <w:p w14:paraId="13218D2B" w14:textId="77777777" w:rsidR="0028189D" w:rsidRPr="0028189D" w:rsidRDefault="0028189D" w:rsidP="0028189D">
      <w:pPr>
        <w:rPr>
          <w:rFonts w:asciiTheme="minorHAnsi" w:hAnsiTheme="minorHAnsi" w:cstheme="minorHAnsi"/>
          <w:lang w:eastAsia="en-US"/>
        </w:rPr>
      </w:pPr>
    </w:p>
    <w:p w14:paraId="09315E8D" w14:textId="77777777" w:rsidR="0028189D" w:rsidRPr="0028189D" w:rsidRDefault="0028189D" w:rsidP="0028189D">
      <w:pPr>
        <w:numPr>
          <w:ilvl w:val="1"/>
          <w:numId w:val="1"/>
        </w:numPr>
        <w:contextualSpacing/>
        <w:rPr>
          <w:rFonts w:asciiTheme="minorHAnsi" w:hAnsiTheme="minorHAnsi" w:cstheme="minorHAnsi"/>
          <w:b/>
          <w:lang w:eastAsia="en-US"/>
        </w:rPr>
      </w:pPr>
      <w:r w:rsidRPr="0028189D">
        <w:rPr>
          <w:rFonts w:asciiTheme="minorHAnsi" w:hAnsiTheme="minorHAnsi" w:cstheme="minorHAnsi"/>
          <w:b/>
          <w:lang w:eastAsia="en-US"/>
        </w:rPr>
        <w:t xml:space="preserve"> Engangstillegg for tidsbegrenset arbeid</w:t>
      </w:r>
    </w:p>
    <w:p w14:paraId="4604F5FA" w14:textId="77777777" w:rsidR="0028189D" w:rsidRPr="0028189D" w:rsidRDefault="0028189D" w:rsidP="0028189D">
      <w:pPr>
        <w:rPr>
          <w:rFonts w:asciiTheme="minorHAnsi" w:hAnsiTheme="minorHAnsi" w:cstheme="minorHAnsi"/>
          <w:lang w:eastAsia="en-US"/>
        </w:rPr>
      </w:pPr>
    </w:p>
    <w:p w14:paraId="1FC6278B" w14:textId="6478F1BD" w:rsidR="00145D10" w:rsidRPr="00606180" w:rsidRDefault="00145D10" w:rsidP="0028189D">
      <w:pPr>
        <w:rPr>
          <w:rFonts w:asciiTheme="minorHAnsi" w:hAnsiTheme="minorHAnsi" w:cstheme="minorHAnsi"/>
          <w:lang w:eastAsia="en-US"/>
        </w:rPr>
      </w:pPr>
      <w:r w:rsidRPr="00606180">
        <w:rPr>
          <w:rFonts w:asciiTheme="minorHAnsi" w:hAnsiTheme="minorHAnsi" w:cstheme="minorHAnsi"/>
          <w:lang w:eastAsia="en-US"/>
        </w:rPr>
        <w:t>Engangstillegg kan i henhold til Bedriftsavtalens kap. 4.3 utbetales til ansatte</w:t>
      </w:r>
      <w:r w:rsidR="00C53173">
        <w:rPr>
          <w:rFonts w:asciiTheme="minorHAnsi" w:hAnsiTheme="minorHAnsi" w:cstheme="minorHAnsi"/>
          <w:lang w:eastAsia="en-US"/>
        </w:rPr>
        <w:t xml:space="preserve"> </w:t>
      </w:r>
      <w:r w:rsidRPr="00606180">
        <w:rPr>
          <w:rFonts w:asciiTheme="minorHAnsi" w:hAnsiTheme="minorHAnsi" w:cstheme="minorHAnsi"/>
          <w:lang w:eastAsia="en-US"/>
        </w:rPr>
        <w:t>for tidsbegrenset arbeid som deltakelse i prosjektarbeid, spesiell arbeidsbelastning, arbeid av spesiell karakter. Engangstillegget gi</w:t>
      </w:r>
      <w:r w:rsidR="006A799A">
        <w:rPr>
          <w:rFonts w:asciiTheme="minorHAnsi" w:hAnsiTheme="minorHAnsi" w:cstheme="minorHAnsi"/>
          <w:lang w:eastAsia="en-US"/>
        </w:rPr>
        <w:t>s</w:t>
      </w:r>
      <w:r w:rsidRPr="00606180">
        <w:rPr>
          <w:rFonts w:asciiTheme="minorHAnsi" w:hAnsiTheme="minorHAnsi" w:cstheme="minorHAnsi"/>
          <w:lang w:eastAsia="en-US"/>
        </w:rPr>
        <w:t xml:space="preserve"> i form av et kronebeløp. Innstilling til utbetaling av engangstillegg skal skje skriftlig til administrerende direktør e</w:t>
      </w:r>
      <w:r w:rsidR="00C53173">
        <w:rPr>
          <w:rFonts w:asciiTheme="minorHAnsi" w:hAnsiTheme="minorHAnsi" w:cstheme="minorHAnsi"/>
          <w:lang w:eastAsia="en-US"/>
        </w:rPr>
        <w:t>ll</w:t>
      </w:r>
      <w:r w:rsidRPr="00606180">
        <w:rPr>
          <w:rFonts w:asciiTheme="minorHAnsi" w:hAnsiTheme="minorHAnsi" w:cstheme="minorHAnsi"/>
          <w:lang w:eastAsia="en-US"/>
        </w:rPr>
        <w:t xml:space="preserve">er hovedtillitsvalgt. Innstillingen behandles av ansettelsesutvalget. </w:t>
      </w:r>
    </w:p>
    <w:p w14:paraId="46C12C84" w14:textId="77777777" w:rsidR="00145D10" w:rsidRDefault="00145D10" w:rsidP="0028189D">
      <w:pPr>
        <w:rPr>
          <w:rFonts w:asciiTheme="minorHAnsi" w:hAnsiTheme="minorHAnsi" w:cstheme="minorHAnsi"/>
          <w:color w:val="FF0000"/>
          <w:lang w:eastAsia="en-US"/>
        </w:rPr>
      </w:pPr>
    </w:p>
    <w:p w14:paraId="475D5ED9" w14:textId="70E08670" w:rsidR="0028189D" w:rsidRPr="0028189D" w:rsidRDefault="0028189D" w:rsidP="0028189D">
      <w:pPr>
        <w:rPr>
          <w:rFonts w:asciiTheme="minorHAnsi" w:hAnsiTheme="minorHAnsi" w:cstheme="minorHAnsi"/>
          <w:color w:val="FF0000"/>
          <w:lang w:eastAsia="en-US"/>
        </w:rPr>
      </w:pPr>
      <w:r w:rsidRPr="0028189D">
        <w:rPr>
          <w:rFonts w:asciiTheme="minorHAnsi" w:hAnsiTheme="minorHAnsi" w:cstheme="minorHAnsi"/>
          <w:lang w:eastAsia="en-US"/>
        </w:rPr>
        <w:t xml:space="preserve">Administrerende direktør kan beslutte individuelle godtgjørelser til ledende ansatte i form av engangstillegg for tidsbegrenset arbeid som deltakelse i prosjektarbeid, spesiell arbeidsbelastning, arbeid av spesiell karakter og lignende. </w:t>
      </w:r>
    </w:p>
    <w:p w14:paraId="0CB4B408" w14:textId="0B6B3E9F" w:rsidR="00145D10" w:rsidRDefault="00145D10" w:rsidP="0028189D">
      <w:pPr>
        <w:rPr>
          <w:rFonts w:asciiTheme="minorHAnsi" w:hAnsiTheme="minorHAnsi" w:cstheme="minorHAnsi"/>
          <w:lang w:eastAsia="en-US"/>
        </w:rPr>
      </w:pPr>
    </w:p>
    <w:p w14:paraId="2C4E1794" w14:textId="77777777" w:rsidR="00145D10" w:rsidRPr="0028189D" w:rsidRDefault="00145D10" w:rsidP="0028189D">
      <w:pPr>
        <w:rPr>
          <w:rFonts w:asciiTheme="minorHAnsi" w:hAnsiTheme="minorHAnsi" w:cstheme="minorHAnsi"/>
          <w:lang w:eastAsia="en-US"/>
        </w:rPr>
      </w:pPr>
    </w:p>
    <w:p w14:paraId="218DFF97" w14:textId="77777777" w:rsidR="0028189D" w:rsidRPr="0028189D" w:rsidRDefault="0028189D" w:rsidP="0028189D">
      <w:pPr>
        <w:numPr>
          <w:ilvl w:val="0"/>
          <w:numId w:val="1"/>
        </w:numPr>
        <w:contextualSpacing/>
        <w:rPr>
          <w:rFonts w:asciiTheme="minorHAnsi" w:hAnsiTheme="minorHAnsi" w:cstheme="minorHAnsi"/>
          <w:b/>
          <w:lang w:eastAsia="en-US"/>
        </w:rPr>
      </w:pPr>
      <w:r w:rsidRPr="0028189D">
        <w:rPr>
          <w:rFonts w:asciiTheme="minorHAnsi" w:hAnsiTheme="minorHAnsi" w:cstheme="minorHAnsi"/>
          <w:b/>
          <w:lang w:eastAsia="en-US"/>
        </w:rPr>
        <w:t>Oppsigelse og etterlønnsordninger</w:t>
      </w:r>
    </w:p>
    <w:p w14:paraId="5F93099D" w14:textId="77777777" w:rsidR="0028189D" w:rsidRPr="0028189D" w:rsidRDefault="0028189D" w:rsidP="0028189D">
      <w:pPr>
        <w:rPr>
          <w:rFonts w:asciiTheme="minorHAnsi" w:hAnsiTheme="minorHAnsi" w:cstheme="minorHAnsi"/>
          <w:lang w:eastAsia="en-US"/>
        </w:rPr>
      </w:pPr>
    </w:p>
    <w:p w14:paraId="26E4A9FF" w14:textId="77777777" w:rsidR="0028189D" w:rsidRPr="0028189D" w:rsidRDefault="0028189D" w:rsidP="0028189D">
      <w:pPr>
        <w:autoSpaceDE w:val="0"/>
        <w:autoSpaceDN w:val="0"/>
        <w:adjustRightInd w:val="0"/>
        <w:rPr>
          <w:rFonts w:asciiTheme="minorHAnsi" w:hAnsiTheme="minorHAnsi" w:cstheme="minorHAnsi"/>
          <w:lang w:eastAsia="en-US"/>
        </w:rPr>
      </w:pPr>
      <w:r w:rsidRPr="0028189D">
        <w:rPr>
          <w:rFonts w:asciiTheme="minorHAnsi" w:hAnsiTheme="minorHAnsi" w:cstheme="minorHAnsi"/>
          <w:lang w:eastAsia="en-US"/>
        </w:rPr>
        <w:t>Administrerende direktør har avtalt etterlønn på 3 år i henhold til gitte forutsetninger. Oppsigelsestid for administrerende direktør er 6 måneder.</w:t>
      </w:r>
    </w:p>
    <w:p w14:paraId="2D5A6CEF" w14:textId="77777777" w:rsidR="0028189D" w:rsidRPr="0028189D" w:rsidRDefault="0028189D" w:rsidP="0028189D">
      <w:pPr>
        <w:autoSpaceDE w:val="0"/>
        <w:autoSpaceDN w:val="0"/>
        <w:adjustRightInd w:val="0"/>
        <w:rPr>
          <w:rFonts w:asciiTheme="minorHAnsi" w:hAnsiTheme="minorHAnsi" w:cstheme="minorHAnsi"/>
          <w:lang w:eastAsia="en-US"/>
        </w:rPr>
      </w:pPr>
    </w:p>
    <w:p w14:paraId="0111E9BD" w14:textId="5F83D9D3" w:rsidR="0028189D" w:rsidRPr="0028189D" w:rsidRDefault="0028189D" w:rsidP="0028189D">
      <w:pPr>
        <w:autoSpaceDE w:val="0"/>
        <w:autoSpaceDN w:val="0"/>
        <w:adjustRightInd w:val="0"/>
        <w:rPr>
          <w:rFonts w:asciiTheme="minorHAnsi" w:hAnsiTheme="minorHAnsi" w:cstheme="minorHAnsi"/>
          <w:lang w:eastAsia="en-US"/>
        </w:rPr>
      </w:pPr>
      <w:r w:rsidRPr="0028189D">
        <w:rPr>
          <w:rFonts w:asciiTheme="minorHAnsi" w:hAnsiTheme="minorHAnsi" w:cstheme="minorHAnsi"/>
          <w:lang w:eastAsia="en-US"/>
        </w:rPr>
        <w:t xml:space="preserve">Det er ingen generelle etterlønnsordninger for andre ledende personer. Administrerende direktør kan avtale etterlønnsordninger for medlemmer av </w:t>
      </w:r>
      <w:r w:rsidR="001B55B3">
        <w:rPr>
          <w:rFonts w:asciiTheme="minorHAnsi" w:hAnsiTheme="minorHAnsi" w:cstheme="minorHAnsi"/>
          <w:lang w:eastAsia="en-US"/>
        </w:rPr>
        <w:t xml:space="preserve">toppledergruppen og </w:t>
      </w:r>
      <w:r w:rsidR="00F01CF6">
        <w:rPr>
          <w:rFonts w:asciiTheme="minorHAnsi" w:hAnsiTheme="minorHAnsi" w:cstheme="minorHAnsi"/>
          <w:lang w:eastAsia="en-US"/>
        </w:rPr>
        <w:t>administrasjonsutvalget (AU)</w:t>
      </w:r>
      <w:r w:rsidR="00F01CF6" w:rsidRPr="0028189D">
        <w:rPr>
          <w:rFonts w:asciiTheme="minorHAnsi" w:hAnsiTheme="minorHAnsi" w:cstheme="minorHAnsi"/>
          <w:lang w:eastAsia="en-US"/>
        </w:rPr>
        <w:t xml:space="preserve"> </w:t>
      </w:r>
      <w:r w:rsidRPr="0028189D">
        <w:rPr>
          <w:rFonts w:asciiTheme="minorHAnsi" w:hAnsiTheme="minorHAnsi" w:cstheme="minorHAnsi"/>
          <w:lang w:eastAsia="en-US"/>
        </w:rPr>
        <w:t xml:space="preserve">for en periode på inntil 2 år. Oppsigelsestid for medlemmer i </w:t>
      </w:r>
      <w:r w:rsidR="001B55B3">
        <w:rPr>
          <w:rFonts w:asciiTheme="minorHAnsi" w:hAnsiTheme="minorHAnsi" w:cstheme="minorHAnsi"/>
          <w:lang w:eastAsia="en-US"/>
        </w:rPr>
        <w:t xml:space="preserve">toppledergruppen og </w:t>
      </w:r>
      <w:r w:rsidR="00F01CF6">
        <w:rPr>
          <w:rFonts w:asciiTheme="minorHAnsi" w:hAnsiTheme="minorHAnsi" w:cstheme="minorHAnsi"/>
          <w:lang w:eastAsia="en-US"/>
        </w:rPr>
        <w:t>administrasjonsutvalget</w:t>
      </w:r>
      <w:r w:rsidR="00F01CF6" w:rsidRPr="0028189D">
        <w:rPr>
          <w:rFonts w:asciiTheme="minorHAnsi" w:hAnsiTheme="minorHAnsi" w:cstheme="minorHAnsi"/>
          <w:lang w:eastAsia="en-US"/>
        </w:rPr>
        <w:t xml:space="preserve"> </w:t>
      </w:r>
      <w:r w:rsidRPr="0028189D">
        <w:rPr>
          <w:rFonts w:asciiTheme="minorHAnsi" w:hAnsiTheme="minorHAnsi" w:cstheme="minorHAnsi"/>
          <w:lang w:eastAsia="en-US"/>
        </w:rPr>
        <w:t>er normalt 6 måneder.</w:t>
      </w:r>
    </w:p>
    <w:p w14:paraId="2740B421" w14:textId="77777777" w:rsidR="0028189D" w:rsidRPr="0028189D" w:rsidRDefault="0028189D" w:rsidP="0028189D">
      <w:pPr>
        <w:rPr>
          <w:rFonts w:asciiTheme="minorHAnsi" w:hAnsiTheme="minorHAnsi" w:cstheme="minorHAnsi"/>
          <w:lang w:eastAsia="en-US"/>
        </w:rPr>
      </w:pPr>
    </w:p>
    <w:p w14:paraId="751270BC" w14:textId="77777777" w:rsidR="0028189D" w:rsidRPr="0028189D" w:rsidRDefault="0028189D" w:rsidP="0028189D">
      <w:pPr>
        <w:rPr>
          <w:rFonts w:asciiTheme="minorHAnsi" w:hAnsiTheme="minorHAnsi" w:cstheme="minorHAnsi"/>
          <w:b/>
          <w:lang w:eastAsia="en-US"/>
        </w:rPr>
      </w:pPr>
    </w:p>
    <w:p w14:paraId="5F7BBFE0" w14:textId="4E444251" w:rsidR="0028189D" w:rsidRPr="0028189D" w:rsidRDefault="00744434" w:rsidP="0028189D">
      <w:pPr>
        <w:numPr>
          <w:ilvl w:val="0"/>
          <w:numId w:val="1"/>
        </w:numPr>
        <w:contextualSpacing/>
        <w:rPr>
          <w:rFonts w:asciiTheme="minorHAnsi" w:hAnsiTheme="minorHAnsi" w:cstheme="minorHAnsi"/>
          <w:b/>
          <w:lang w:eastAsia="en-US"/>
        </w:rPr>
      </w:pPr>
      <w:r>
        <w:rPr>
          <w:rFonts w:asciiTheme="minorHAnsi" w:hAnsiTheme="minorHAnsi" w:cstheme="minorHAnsi"/>
          <w:b/>
          <w:lang w:eastAsia="en-US"/>
        </w:rPr>
        <w:t>Ansvar</w:t>
      </w:r>
      <w:r w:rsidR="00782273">
        <w:rPr>
          <w:rFonts w:asciiTheme="minorHAnsi" w:hAnsiTheme="minorHAnsi" w:cstheme="minorHAnsi"/>
          <w:b/>
          <w:lang w:eastAsia="en-US"/>
        </w:rPr>
        <w:t>,</w:t>
      </w:r>
      <w:r>
        <w:rPr>
          <w:rFonts w:asciiTheme="minorHAnsi" w:hAnsiTheme="minorHAnsi" w:cstheme="minorHAnsi"/>
          <w:b/>
          <w:lang w:eastAsia="en-US"/>
        </w:rPr>
        <w:t xml:space="preserve"> roller </w:t>
      </w:r>
      <w:r w:rsidR="00782273">
        <w:rPr>
          <w:rFonts w:asciiTheme="minorHAnsi" w:hAnsiTheme="minorHAnsi" w:cstheme="minorHAnsi"/>
          <w:b/>
          <w:lang w:eastAsia="en-US"/>
        </w:rPr>
        <w:t xml:space="preserve">og beslutningsprosess for etablering, revidering og gjennomføring av retningslinjene og </w:t>
      </w:r>
      <w:r>
        <w:rPr>
          <w:rFonts w:asciiTheme="minorHAnsi" w:hAnsiTheme="minorHAnsi" w:cstheme="minorHAnsi"/>
          <w:b/>
          <w:lang w:eastAsia="en-US"/>
        </w:rPr>
        <w:t>for styring og kontroll av godtgjørelsesrisiko</w:t>
      </w:r>
    </w:p>
    <w:p w14:paraId="297CDDA7" w14:textId="1FA4FDCC" w:rsidR="0028189D" w:rsidRDefault="0028189D" w:rsidP="0028189D">
      <w:pPr>
        <w:rPr>
          <w:rFonts w:asciiTheme="minorHAnsi" w:hAnsiTheme="minorHAnsi" w:cstheme="minorHAnsi"/>
          <w:lang w:eastAsia="en-US"/>
        </w:rPr>
      </w:pPr>
    </w:p>
    <w:p w14:paraId="5041E41A" w14:textId="499C6160" w:rsidR="00744434" w:rsidRPr="0028189D" w:rsidRDefault="00744434" w:rsidP="00744434">
      <w:pPr>
        <w:numPr>
          <w:ilvl w:val="1"/>
          <w:numId w:val="1"/>
        </w:numPr>
        <w:contextualSpacing/>
        <w:rPr>
          <w:rFonts w:asciiTheme="minorHAnsi" w:hAnsiTheme="minorHAnsi" w:cstheme="minorHAnsi"/>
          <w:b/>
          <w:lang w:eastAsia="en-US"/>
        </w:rPr>
      </w:pPr>
      <w:r>
        <w:rPr>
          <w:rFonts w:asciiTheme="minorHAnsi" w:hAnsiTheme="minorHAnsi" w:cstheme="minorHAnsi"/>
          <w:b/>
          <w:lang w:eastAsia="en-US"/>
        </w:rPr>
        <w:t>Styret</w:t>
      </w:r>
    </w:p>
    <w:p w14:paraId="17A92D77" w14:textId="77777777" w:rsidR="00744434" w:rsidRPr="0028189D" w:rsidRDefault="00744434" w:rsidP="0028189D">
      <w:pPr>
        <w:rPr>
          <w:rFonts w:asciiTheme="minorHAnsi" w:hAnsiTheme="minorHAnsi" w:cstheme="minorHAnsi"/>
          <w:lang w:eastAsia="en-US"/>
        </w:rPr>
      </w:pPr>
    </w:p>
    <w:p w14:paraId="60DB1962" w14:textId="2BB1025B" w:rsidR="00782273" w:rsidRDefault="00744434" w:rsidP="00744434">
      <w:pPr>
        <w:autoSpaceDE w:val="0"/>
        <w:autoSpaceDN w:val="0"/>
        <w:adjustRightInd w:val="0"/>
        <w:rPr>
          <w:rFonts w:asciiTheme="minorHAnsi" w:hAnsiTheme="minorHAnsi" w:cstheme="minorHAnsi"/>
          <w:lang w:eastAsia="en-US"/>
        </w:rPr>
      </w:pPr>
      <w:r w:rsidRPr="00744434">
        <w:rPr>
          <w:rFonts w:asciiTheme="minorHAnsi" w:hAnsiTheme="minorHAnsi" w:cstheme="minorHAnsi"/>
          <w:lang w:eastAsia="en-US"/>
        </w:rPr>
        <w:t xml:space="preserve">Styret har det overordnede ansvaret for håndtering av risikoer som er forbundet med variabel godtgjørelse. Styret </w:t>
      </w:r>
      <w:r w:rsidR="00782273">
        <w:rPr>
          <w:rFonts w:asciiTheme="minorHAnsi" w:hAnsiTheme="minorHAnsi" w:cstheme="minorHAnsi"/>
          <w:lang w:eastAsia="en-US"/>
        </w:rPr>
        <w:t>utarbeider forslag til retningslinjer</w:t>
      </w:r>
      <w:r w:rsidRPr="00744434">
        <w:rPr>
          <w:rFonts w:asciiTheme="minorHAnsi" w:hAnsiTheme="minorHAnsi" w:cstheme="minorHAnsi"/>
          <w:lang w:eastAsia="en-US"/>
        </w:rPr>
        <w:t xml:space="preserve"> for godtgjørelser</w:t>
      </w:r>
      <w:r w:rsidR="00782273">
        <w:rPr>
          <w:rFonts w:asciiTheme="minorHAnsi" w:hAnsiTheme="minorHAnsi" w:cstheme="minorHAnsi"/>
          <w:lang w:eastAsia="en-US"/>
        </w:rPr>
        <w:t xml:space="preserve"> til ansatte og ledende personer</w:t>
      </w:r>
      <w:r w:rsidRPr="00744434">
        <w:rPr>
          <w:rFonts w:asciiTheme="minorHAnsi" w:hAnsiTheme="minorHAnsi" w:cstheme="minorHAnsi"/>
          <w:lang w:eastAsia="en-US"/>
        </w:rPr>
        <w:t xml:space="preserve">. </w:t>
      </w:r>
      <w:r w:rsidR="00782273" w:rsidRPr="00782273">
        <w:rPr>
          <w:rFonts w:asciiTheme="minorHAnsi" w:hAnsiTheme="minorHAnsi" w:cstheme="minorHAnsi"/>
          <w:lang w:eastAsia="en-US"/>
        </w:rPr>
        <w:t>Disse retningslinjene skal behandles og godkjennes av forstanderskapet ved enhver vesentlig endring og minst hvert fjerde år. Vesentlige endringer i retningslinjene skal beskrives og forklares. Øvrige endringer kan vedtas av styret.</w:t>
      </w:r>
      <w:r w:rsidR="00782273">
        <w:rPr>
          <w:rFonts w:asciiTheme="minorHAnsi" w:hAnsiTheme="minorHAnsi" w:cstheme="minorHAnsi"/>
          <w:lang w:eastAsia="en-US"/>
        </w:rPr>
        <w:t xml:space="preserve"> </w:t>
      </w:r>
    </w:p>
    <w:p w14:paraId="799180CF" w14:textId="77777777" w:rsidR="00782273" w:rsidRDefault="00782273" w:rsidP="00744434">
      <w:pPr>
        <w:autoSpaceDE w:val="0"/>
        <w:autoSpaceDN w:val="0"/>
        <w:adjustRightInd w:val="0"/>
        <w:rPr>
          <w:rFonts w:asciiTheme="minorHAnsi" w:hAnsiTheme="minorHAnsi" w:cstheme="minorHAnsi"/>
          <w:lang w:eastAsia="en-US"/>
        </w:rPr>
      </w:pPr>
    </w:p>
    <w:p w14:paraId="349D10CB" w14:textId="2815B827" w:rsidR="00782273" w:rsidRDefault="00782273" w:rsidP="00744434">
      <w:pPr>
        <w:autoSpaceDE w:val="0"/>
        <w:autoSpaceDN w:val="0"/>
        <w:adjustRightInd w:val="0"/>
        <w:rPr>
          <w:rFonts w:asciiTheme="minorHAnsi" w:hAnsiTheme="minorHAnsi" w:cstheme="minorHAnsi"/>
          <w:lang w:eastAsia="en-US"/>
        </w:rPr>
      </w:pPr>
      <w:r w:rsidRPr="00782273">
        <w:rPr>
          <w:rFonts w:asciiTheme="minorHAnsi" w:hAnsiTheme="minorHAnsi" w:cstheme="minorHAnsi"/>
          <w:lang w:eastAsia="en-US"/>
        </w:rPr>
        <w:t xml:space="preserve">Styret kan under særlige omstendigheter midlertidig fravike retningslinjene for å tilfredsstille bankens langsiktige interesser, økonomiske bæreevne, eller for å sikre bankens finansielle levedyktighet. Dette kan f.eks. være knyttet til endringer i bankens ledelse, konsernstruktur, organisasjon, eierskap eller virksomhet som krever ekstraordinær innsats fra ledende ansatte. Avvik må være innenfor bestemmelsene i finansforetaksloven kapitel 15 med forskrift. </w:t>
      </w:r>
    </w:p>
    <w:p w14:paraId="1DB5E24A" w14:textId="77777777" w:rsidR="00782273" w:rsidRDefault="00782273" w:rsidP="00744434">
      <w:pPr>
        <w:autoSpaceDE w:val="0"/>
        <w:autoSpaceDN w:val="0"/>
        <w:adjustRightInd w:val="0"/>
        <w:rPr>
          <w:rFonts w:asciiTheme="minorHAnsi" w:hAnsiTheme="minorHAnsi" w:cstheme="minorHAnsi"/>
          <w:lang w:eastAsia="en-US"/>
        </w:rPr>
      </w:pPr>
    </w:p>
    <w:p w14:paraId="47F79230" w14:textId="423CDC71" w:rsidR="00782273" w:rsidRPr="00782273" w:rsidRDefault="00744434" w:rsidP="00FA039E">
      <w:pPr>
        <w:autoSpaceDE w:val="0"/>
        <w:autoSpaceDN w:val="0"/>
        <w:adjustRightInd w:val="0"/>
        <w:rPr>
          <w:rFonts w:asciiTheme="minorHAnsi" w:hAnsiTheme="minorHAnsi" w:cstheme="minorHAnsi"/>
          <w:lang w:eastAsia="en-US"/>
        </w:rPr>
      </w:pPr>
      <w:r w:rsidRPr="00744434">
        <w:rPr>
          <w:rFonts w:asciiTheme="minorHAnsi" w:hAnsiTheme="minorHAnsi" w:cstheme="minorHAnsi"/>
          <w:lang w:eastAsia="en-US"/>
        </w:rPr>
        <w:t xml:space="preserve">Styret skal videre vurdere </w:t>
      </w:r>
      <w:r w:rsidR="0075747B">
        <w:rPr>
          <w:rFonts w:asciiTheme="minorHAnsi" w:hAnsiTheme="minorHAnsi" w:cstheme="minorHAnsi"/>
          <w:lang w:eastAsia="en-US"/>
        </w:rPr>
        <w:t>og</w:t>
      </w:r>
      <w:r w:rsidRPr="00744434">
        <w:rPr>
          <w:rFonts w:asciiTheme="minorHAnsi" w:hAnsiTheme="minorHAnsi" w:cstheme="minorHAnsi"/>
          <w:lang w:eastAsia="en-US"/>
        </w:rPr>
        <w:t xml:space="preserve"> overvåke effektene av endringer og unntak i godtgjørelsespolitikken. Prosedyrer for å fastsette godtgjørelse skal være veldokumentert og transparente internt.</w:t>
      </w:r>
    </w:p>
    <w:p w14:paraId="467D2C68" w14:textId="77777777" w:rsidR="00744434" w:rsidRPr="00744434" w:rsidRDefault="00744434" w:rsidP="00744434">
      <w:pPr>
        <w:autoSpaceDE w:val="0"/>
        <w:autoSpaceDN w:val="0"/>
        <w:adjustRightInd w:val="0"/>
        <w:rPr>
          <w:rFonts w:asciiTheme="minorHAnsi" w:hAnsiTheme="minorHAnsi" w:cstheme="minorHAnsi"/>
          <w:lang w:eastAsia="en-US"/>
        </w:rPr>
      </w:pPr>
    </w:p>
    <w:p w14:paraId="4B1D6FBE" w14:textId="2893B388" w:rsidR="00744434" w:rsidRPr="00744434" w:rsidRDefault="00744434" w:rsidP="00744434">
      <w:pPr>
        <w:autoSpaceDE w:val="0"/>
        <w:autoSpaceDN w:val="0"/>
        <w:adjustRightInd w:val="0"/>
        <w:rPr>
          <w:rFonts w:asciiTheme="minorHAnsi" w:hAnsiTheme="minorHAnsi" w:cstheme="minorHAnsi"/>
          <w:lang w:eastAsia="en-US"/>
        </w:rPr>
      </w:pPr>
      <w:r w:rsidRPr="00744434">
        <w:rPr>
          <w:rFonts w:asciiTheme="minorHAnsi" w:hAnsiTheme="minorHAnsi" w:cstheme="minorHAnsi"/>
          <w:lang w:eastAsia="en-US"/>
        </w:rPr>
        <w:t xml:space="preserve">Styret skal utarbeide rapport om </w:t>
      </w:r>
      <w:r w:rsidR="00FA039E">
        <w:rPr>
          <w:rFonts w:asciiTheme="minorHAnsi" w:hAnsiTheme="minorHAnsi" w:cstheme="minorHAnsi"/>
          <w:lang w:eastAsia="en-US"/>
        </w:rPr>
        <w:t xml:space="preserve">lønn og annen </w:t>
      </w:r>
      <w:r w:rsidRPr="00744434">
        <w:rPr>
          <w:rFonts w:asciiTheme="minorHAnsi" w:hAnsiTheme="minorHAnsi" w:cstheme="minorHAnsi"/>
          <w:lang w:eastAsia="en-US"/>
        </w:rPr>
        <w:t>godtgjørelse</w:t>
      </w:r>
      <w:r w:rsidR="00FA039E">
        <w:rPr>
          <w:rFonts w:asciiTheme="minorHAnsi" w:hAnsiTheme="minorHAnsi" w:cstheme="minorHAnsi"/>
          <w:lang w:eastAsia="en-US"/>
        </w:rPr>
        <w:t xml:space="preserve"> til ledende personer</w:t>
      </w:r>
      <w:r w:rsidRPr="00744434">
        <w:rPr>
          <w:rFonts w:asciiTheme="minorHAnsi" w:hAnsiTheme="minorHAnsi" w:cstheme="minorHAnsi"/>
          <w:lang w:eastAsia="en-US"/>
        </w:rPr>
        <w:t xml:space="preserve"> i samsvar med forskrift om retningslinjer og rapport om godtgjørelse for ledende personer gjeldende.</w:t>
      </w:r>
    </w:p>
    <w:p w14:paraId="37C34689" w14:textId="77777777" w:rsidR="0028189D" w:rsidRPr="0028189D" w:rsidRDefault="0028189D" w:rsidP="0028189D">
      <w:pPr>
        <w:autoSpaceDE w:val="0"/>
        <w:autoSpaceDN w:val="0"/>
        <w:adjustRightInd w:val="0"/>
        <w:rPr>
          <w:rFonts w:asciiTheme="minorHAnsi" w:hAnsiTheme="minorHAnsi" w:cstheme="minorHAnsi"/>
          <w:lang w:eastAsia="en-US"/>
        </w:rPr>
      </w:pPr>
    </w:p>
    <w:p w14:paraId="5975C471" w14:textId="455B3129" w:rsidR="0028189D" w:rsidRPr="0028189D" w:rsidRDefault="0028189D" w:rsidP="0028189D">
      <w:pPr>
        <w:autoSpaceDE w:val="0"/>
        <w:autoSpaceDN w:val="0"/>
        <w:adjustRightInd w:val="0"/>
        <w:rPr>
          <w:rFonts w:asciiTheme="minorHAnsi" w:hAnsiTheme="minorHAnsi" w:cstheme="minorHAnsi"/>
          <w:lang w:eastAsia="en-US"/>
        </w:rPr>
      </w:pPr>
      <w:r w:rsidRPr="0028189D">
        <w:rPr>
          <w:rFonts w:asciiTheme="minorHAnsi" w:hAnsiTheme="minorHAnsi" w:cstheme="minorHAnsi"/>
          <w:lang w:eastAsia="en-US"/>
        </w:rPr>
        <w:t xml:space="preserve"> </w:t>
      </w:r>
    </w:p>
    <w:p w14:paraId="15FE189E" w14:textId="77777777" w:rsidR="0028189D" w:rsidRPr="0028189D" w:rsidRDefault="0028189D" w:rsidP="0028189D">
      <w:pPr>
        <w:autoSpaceDE w:val="0"/>
        <w:autoSpaceDN w:val="0"/>
        <w:adjustRightInd w:val="0"/>
        <w:rPr>
          <w:rFonts w:asciiTheme="minorHAnsi" w:hAnsiTheme="minorHAnsi" w:cstheme="minorHAnsi"/>
          <w:lang w:eastAsia="en-US"/>
        </w:rPr>
      </w:pPr>
    </w:p>
    <w:p w14:paraId="4C44DAB8" w14:textId="485D78D0" w:rsidR="00AA2454" w:rsidRPr="0028189D" w:rsidRDefault="00AA2454" w:rsidP="00AA2454">
      <w:pPr>
        <w:numPr>
          <w:ilvl w:val="1"/>
          <w:numId w:val="1"/>
        </w:numPr>
        <w:contextualSpacing/>
        <w:rPr>
          <w:rFonts w:asciiTheme="minorHAnsi" w:hAnsiTheme="minorHAnsi" w:cstheme="minorHAnsi"/>
          <w:b/>
          <w:lang w:eastAsia="en-US"/>
        </w:rPr>
      </w:pPr>
      <w:r>
        <w:rPr>
          <w:rFonts w:asciiTheme="minorHAnsi" w:hAnsiTheme="minorHAnsi" w:cstheme="minorHAnsi"/>
          <w:b/>
          <w:lang w:eastAsia="en-US"/>
        </w:rPr>
        <w:t>Godtgjørelsesutvalg</w:t>
      </w:r>
    </w:p>
    <w:p w14:paraId="500318A6" w14:textId="44F08CEB" w:rsidR="0028189D" w:rsidRDefault="0028189D" w:rsidP="0028189D">
      <w:pPr>
        <w:rPr>
          <w:rFonts w:asciiTheme="minorHAnsi" w:hAnsiTheme="minorHAnsi" w:cstheme="minorHAnsi"/>
          <w:lang w:eastAsia="en-US"/>
        </w:rPr>
      </w:pPr>
    </w:p>
    <w:p w14:paraId="25C31F01" w14:textId="5A35F90B" w:rsidR="005A0814" w:rsidRPr="005A0814" w:rsidRDefault="005A0814" w:rsidP="005A0814">
      <w:pPr>
        <w:autoSpaceDE w:val="0"/>
        <w:autoSpaceDN w:val="0"/>
        <w:adjustRightInd w:val="0"/>
        <w:rPr>
          <w:rFonts w:asciiTheme="minorHAnsi" w:hAnsiTheme="minorHAnsi" w:cstheme="minorHAnsi"/>
          <w:lang w:eastAsia="en-US"/>
        </w:rPr>
      </w:pPr>
      <w:r w:rsidRPr="0028189D">
        <w:rPr>
          <w:rFonts w:asciiTheme="minorHAnsi" w:hAnsiTheme="minorHAnsi" w:cstheme="minorHAnsi"/>
          <w:lang w:eastAsia="en-US"/>
        </w:rPr>
        <w:t xml:space="preserve">Styret har oppnevnt et godtgjørelsesutvalg </w:t>
      </w:r>
      <w:r w:rsidR="00997BC3">
        <w:rPr>
          <w:rFonts w:asciiTheme="minorHAnsi" w:hAnsiTheme="minorHAnsi" w:cstheme="minorHAnsi"/>
          <w:lang w:eastAsia="en-US"/>
        </w:rPr>
        <w:t>som</w:t>
      </w:r>
      <w:r w:rsidRPr="005A0814">
        <w:rPr>
          <w:rFonts w:asciiTheme="minorHAnsi" w:hAnsiTheme="minorHAnsi" w:cstheme="minorHAnsi"/>
          <w:lang w:eastAsia="en-US"/>
        </w:rPr>
        <w:t xml:space="preserve"> skal vurdere om godtgjørelsespolitikken i Sparebanken Øst og datterselskaper er passende, herunder påse at retningslinjer for godtgjørelse følges og etterleves</w:t>
      </w:r>
      <w:r>
        <w:rPr>
          <w:rFonts w:asciiTheme="minorHAnsi" w:hAnsiTheme="minorHAnsi" w:cstheme="minorHAnsi"/>
          <w:lang w:eastAsia="en-US"/>
        </w:rPr>
        <w:t>.</w:t>
      </w:r>
      <w:r w:rsidRPr="005A0814">
        <w:rPr>
          <w:rFonts w:asciiTheme="minorHAnsi" w:hAnsiTheme="minorHAnsi" w:cstheme="minorHAnsi"/>
          <w:lang w:eastAsia="en-US"/>
        </w:rPr>
        <w:t xml:space="preserve"> Her kan utvalget innhente innspill og vurderinger fra bankens kontrollfunksjoner. </w:t>
      </w:r>
    </w:p>
    <w:p w14:paraId="49892CF3" w14:textId="77777777" w:rsidR="005A0814" w:rsidRPr="00F0490F" w:rsidRDefault="005A0814" w:rsidP="005A0814">
      <w:pPr>
        <w:autoSpaceDE w:val="0"/>
        <w:autoSpaceDN w:val="0"/>
        <w:adjustRightInd w:val="0"/>
        <w:rPr>
          <w:rFonts w:ascii="Arial" w:hAnsi="Arial" w:cs="Arial"/>
        </w:rPr>
      </w:pPr>
    </w:p>
    <w:p w14:paraId="2E8E39F9" w14:textId="77777777" w:rsidR="005A0814" w:rsidRPr="005A0814" w:rsidRDefault="005A0814" w:rsidP="005A0814">
      <w:pPr>
        <w:rPr>
          <w:rFonts w:asciiTheme="minorHAnsi" w:hAnsiTheme="minorHAnsi" w:cstheme="minorHAnsi"/>
          <w:lang w:eastAsia="en-US"/>
        </w:rPr>
      </w:pPr>
      <w:r w:rsidRPr="005A0814">
        <w:rPr>
          <w:rFonts w:asciiTheme="minorHAnsi" w:hAnsiTheme="minorHAnsi" w:cstheme="minorHAnsi"/>
          <w:lang w:eastAsia="en-US"/>
        </w:rPr>
        <w:t>Utvalget har følgende hovedoppgaver:</w:t>
      </w:r>
    </w:p>
    <w:p w14:paraId="2152DB2D" w14:textId="38174F7C" w:rsidR="005A0814" w:rsidRPr="005A0814" w:rsidRDefault="005A0814" w:rsidP="005A0814">
      <w:pPr>
        <w:pStyle w:val="Listeavsnitt"/>
        <w:numPr>
          <w:ilvl w:val="0"/>
          <w:numId w:val="6"/>
        </w:numPr>
        <w:rPr>
          <w:rFonts w:asciiTheme="minorHAnsi" w:hAnsiTheme="minorHAnsi" w:cstheme="minorHAnsi"/>
          <w:lang w:eastAsia="en-US"/>
        </w:rPr>
      </w:pPr>
      <w:r w:rsidRPr="005A0814">
        <w:rPr>
          <w:rFonts w:asciiTheme="minorHAnsi" w:hAnsiTheme="minorHAnsi" w:cstheme="minorHAnsi"/>
          <w:lang w:eastAsia="en-US"/>
        </w:rPr>
        <w:t xml:space="preserve">Forberede for styret retningslinjer for, og saker om, godtgjørelse til </w:t>
      </w:r>
      <w:r w:rsidR="00B05A06">
        <w:rPr>
          <w:rFonts w:asciiTheme="minorHAnsi" w:hAnsiTheme="minorHAnsi" w:cstheme="minorHAnsi"/>
          <w:lang w:eastAsia="en-US"/>
        </w:rPr>
        <w:t>ansatte med vesentlig innvirkning på bankens risikoprofil</w:t>
      </w:r>
      <w:r w:rsidRPr="005A0814">
        <w:rPr>
          <w:rFonts w:asciiTheme="minorHAnsi" w:hAnsiTheme="minorHAnsi" w:cstheme="minorHAnsi"/>
          <w:lang w:eastAsia="en-US"/>
        </w:rPr>
        <w:t xml:space="preserve"> </w:t>
      </w:r>
    </w:p>
    <w:p w14:paraId="02AF1F66" w14:textId="32171190" w:rsidR="005A0814" w:rsidRDefault="000D29F0" w:rsidP="005A0814">
      <w:pPr>
        <w:pStyle w:val="Listeavsnitt"/>
        <w:numPr>
          <w:ilvl w:val="0"/>
          <w:numId w:val="6"/>
        </w:numPr>
        <w:rPr>
          <w:rFonts w:asciiTheme="minorHAnsi" w:hAnsiTheme="minorHAnsi" w:cstheme="minorHAnsi"/>
          <w:lang w:eastAsia="en-US"/>
        </w:rPr>
      </w:pPr>
      <w:r>
        <w:rPr>
          <w:rFonts w:asciiTheme="minorHAnsi" w:hAnsiTheme="minorHAnsi" w:cstheme="minorHAnsi"/>
          <w:lang w:eastAsia="en-US"/>
        </w:rPr>
        <w:t>Vurdere om godtgjørelsesordningen er passende og</w:t>
      </w:r>
      <w:r w:rsidRPr="000D29F0">
        <w:rPr>
          <w:rFonts w:asciiTheme="minorHAnsi" w:hAnsiTheme="minorHAnsi" w:cstheme="minorHAnsi"/>
          <w:lang w:eastAsia="en-US"/>
        </w:rPr>
        <w:t xml:space="preserve"> </w:t>
      </w:r>
      <w:r w:rsidRPr="005A0814">
        <w:rPr>
          <w:rFonts w:asciiTheme="minorHAnsi" w:hAnsiTheme="minorHAnsi" w:cstheme="minorHAnsi"/>
          <w:lang w:eastAsia="en-US"/>
        </w:rPr>
        <w:t>i samsvar med forskriften om godtgjørelsesordninger i finansforetak</w:t>
      </w:r>
      <w:r>
        <w:rPr>
          <w:rFonts w:asciiTheme="minorHAnsi" w:hAnsiTheme="minorHAnsi" w:cstheme="minorHAnsi"/>
          <w:lang w:eastAsia="en-US"/>
        </w:rPr>
        <w:t xml:space="preserve"> samt vurdere og godtgjørelsesordningen </w:t>
      </w:r>
      <w:r w:rsidR="005A0814" w:rsidRPr="005A0814">
        <w:rPr>
          <w:rFonts w:asciiTheme="minorHAnsi" w:hAnsiTheme="minorHAnsi" w:cstheme="minorHAnsi"/>
          <w:lang w:eastAsia="en-US"/>
        </w:rPr>
        <w:t>praktisere</w:t>
      </w:r>
      <w:r>
        <w:rPr>
          <w:rFonts w:asciiTheme="minorHAnsi" w:hAnsiTheme="minorHAnsi" w:cstheme="minorHAnsi"/>
          <w:lang w:eastAsia="en-US"/>
        </w:rPr>
        <w:t>s</w:t>
      </w:r>
      <w:r w:rsidR="005A0814" w:rsidRPr="005A0814">
        <w:rPr>
          <w:rFonts w:asciiTheme="minorHAnsi" w:hAnsiTheme="minorHAnsi" w:cstheme="minorHAnsi"/>
          <w:lang w:eastAsia="en-US"/>
        </w:rPr>
        <w:t xml:space="preserve"> </w:t>
      </w:r>
      <w:r>
        <w:rPr>
          <w:rFonts w:asciiTheme="minorHAnsi" w:hAnsiTheme="minorHAnsi" w:cstheme="minorHAnsi"/>
          <w:lang w:eastAsia="en-US"/>
        </w:rPr>
        <w:t xml:space="preserve">i henhold til styrevedtatte </w:t>
      </w:r>
      <w:r w:rsidR="005A0814" w:rsidRPr="005A0814">
        <w:rPr>
          <w:rFonts w:asciiTheme="minorHAnsi" w:hAnsiTheme="minorHAnsi" w:cstheme="minorHAnsi"/>
          <w:lang w:eastAsia="en-US"/>
        </w:rPr>
        <w:t>retningslinjer som gjelde</w:t>
      </w:r>
      <w:r>
        <w:rPr>
          <w:rFonts w:asciiTheme="minorHAnsi" w:hAnsiTheme="minorHAnsi" w:cstheme="minorHAnsi"/>
          <w:lang w:eastAsia="en-US"/>
        </w:rPr>
        <w:t>r</w:t>
      </w:r>
      <w:r w:rsidR="005A0814" w:rsidRPr="005A0814">
        <w:rPr>
          <w:rFonts w:asciiTheme="minorHAnsi" w:hAnsiTheme="minorHAnsi" w:cstheme="minorHAnsi"/>
          <w:lang w:eastAsia="en-US"/>
        </w:rPr>
        <w:t xml:space="preserve"> for hele foretaket og datterselskaper</w:t>
      </w:r>
    </w:p>
    <w:p w14:paraId="576908FA" w14:textId="081A477A" w:rsidR="005A0814" w:rsidRPr="00606180" w:rsidRDefault="005A0814" w:rsidP="005A0814">
      <w:pPr>
        <w:pStyle w:val="Listeavsnitt"/>
        <w:numPr>
          <w:ilvl w:val="0"/>
          <w:numId w:val="6"/>
        </w:numPr>
        <w:autoSpaceDE w:val="0"/>
        <w:autoSpaceDN w:val="0"/>
        <w:adjustRightInd w:val="0"/>
        <w:rPr>
          <w:rFonts w:asciiTheme="minorHAnsi" w:hAnsiTheme="minorHAnsi" w:cstheme="minorHAnsi"/>
          <w:lang w:eastAsia="en-US"/>
        </w:rPr>
      </w:pPr>
      <w:r w:rsidRPr="00606180">
        <w:rPr>
          <w:rFonts w:asciiTheme="minorHAnsi" w:hAnsiTheme="minorHAnsi" w:cstheme="minorHAnsi"/>
          <w:lang w:eastAsia="en-US"/>
        </w:rPr>
        <w:t>Minst en gang i året utarbeide en rapport til bankens styre, med godtgjørelsesutvalgets vurdering av bankens etterlevelse på området, samt en oversikt over utvalgets arbeid gjennom året</w:t>
      </w:r>
    </w:p>
    <w:p w14:paraId="7C3D5168" w14:textId="11D15104" w:rsidR="005A0814" w:rsidRPr="00606180" w:rsidRDefault="007320D8" w:rsidP="005A0814">
      <w:pPr>
        <w:pStyle w:val="Listeavsnitt"/>
        <w:numPr>
          <w:ilvl w:val="0"/>
          <w:numId w:val="6"/>
        </w:numPr>
        <w:rPr>
          <w:rFonts w:asciiTheme="minorHAnsi" w:hAnsiTheme="minorHAnsi" w:cstheme="minorHAnsi"/>
          <w:lang w:eastAsia="en-US"/>
        </w:rPr>
      </w:pPr>
      <w:r w:rsidRPr="00606180">
        <w:rPr>
          <w:rFonts w:asciiTheme="minorHAnsi" w:hAnsiTheme="minorHAnsi" w:cstheme="minorHAnsi"/>
          <w:lang w:eastAsia="en-US"/>
        </w:rPr>
        <w:t xml:space="preserve">Forberede </w:t>
      </w:r>
      <w:r w:rsidR="00227DCC">
        <w:rPr>
          <w:rFonts w:asciiTheme="minorHAnsi" w:hAnsiTheme="minorHAnsi" w:cstheme="minorHAnsi"/>
          <w:lang w:eastAsia="en-US"/>
        </w:rPr>
        <w:t xml:space="preserve">styrets </w:t>
      </w:r>
      <w:r w:rsidRPr="00606180">
        <w:rPr>
          <w:rFonts w:asciiTheme="minorHAnsi" w:hAnsiTheme="minorHAnsi" w:cstheme="minorHAnsi"/>
          <w:lang w:eastAsia="en-US"/>
        </w:rPr>
        <w:t>«Rapport om lønn og annen godtgjørelse til ledende personer» i henhold til allmennaksjeloven § 6-16 b.</w:t>
      </w:r>
    </w:p>
    <w:p w14:paraId="13543B90" w14:textId="77777777" w:rsidR="005A0814" w:rsidRPr="00BA14A0" w:rsidRDefault="005A0814" w:rsidP="005A0814">
      <w:pPr>
        <w:autoSpaceDE w:val="0"/>
        <w:autoSpaceDN w:val="0"/>
        <w:adjustRightInd w:val="0"/>
        <w:rPr>
          <w:rFonts w:ascii="Arial" w:hAnsi="Arial" w:cs="Arial"/>
        </w:rPr>
      </w:pPr>
    </w:p>
    <w:p w14:paraId="1A3296CF" w14:textId="14F1A3B7" w:rsidR="005A0814" w:rsidRPr="005A0814" w:rsidRDefault="005A0814" w:rsidP="005A0814">
      <w:pPr>
        <w:autoSpaceDE w:val="0"/>
        <w:autoSpaceDN w:val="0"/>
        <w:adjustRightInd w:val="0"/>
        <w:rPr>
          <w:rFonts w:asciiTheme="minorHAnsi" w:hAnsiTheme="minorHAnsi" w:cstheme="minorHAnsi"/>
          <w:lang w:eastAsia="en-US"/>
        </w:rPr>
      </w:pPr>
      <w:r w:rsidRPr="005A0814">
        <w:rPr>
          <w:rFonts w:asciiTheme="minorHAnsi" w:hAnsiTheme="minorHAnsi" w:cstheme="minorHAnsi"/>
          <w:lang w:eastAsia="en-US"/>
        </w:rPr>
        <w:t>Godtgjørelsesutvalget skal bestå av medlemmer fra styret hvorav ett av medlemmene skal være ansattes representant. I tillegg skal HR-sjef inneha sekretærfunksjonen i utvalget. Styret velger selv hvem som skal sitte i godtgjørelsesutvalget og utpeker dets leder.</w:t>
      </w:r>
    </w:p>
    <w:p w14:paraId="233D22A2" w14:textId="77777777" w:rsidR="005A0814" w:rsidRPr="005A0814" w:rsidRDefault="005A0814" w:rsidP="005A0814">
      <w:pPr>
        <w:autoSpaceDE w:val="0"/>
        <w:autoSpaceDN w:val="0"/>
        <w:adjustRightInd w:val="0"/>
        <w:rPr>
          <w:rFonts w:asciiTheme="minorHAnsi" w:hAnsiTheme="minorHAnsi" w:cstheme="minorHAnsi"/>
          <w:lang w:eastAsia="en-US"/>
        </w:rPr>
      </w:pPr>
    </w:p>
    <w:p w14:paraId="4A706B52" w14:textId="1FB54C94" w:rsidR="005A0814" w:rsidRPr="005A0814" w:rsidRDefault="005A0814" w:rsidP="005A0814">
      <w:pPr>
        <w:autoSpaceDE w:val="0"/>
        <w:autoSpaceDN w:val="0"/>
        <w:adjustRightInd w:val="0"/>
        <w:rPr>
          <w:rFonts w:asciiTheme="minorHAnsi" w:hAnsiTheme="minorHAnsi" w:cstheme="minorHAnsi"/>
          <w:lang w:eastAsia="en-US"/>
        </w:rPr>
      </w:pPr>
      <w:r w:rsidRPr="005A0814">
        <w:rPr>
          <w:rFonts w:asciiTheme="minorHAnsi" w:hAnsiTheme="minorHAnsi" w:cstheme="minorHAnsi"/>
          <w:lang w:eastAsia="en-US"/>
        </w:rPr>
        <w:t xml:space="preserve">Godtgjørelsesutvalget møter etter innkalling fra leder i utvalget. Leder avgjør hvor ofte utvalget skal møtes og setter opp saksliste som sendes ut før møtet. </w:t>
      </w:r>
    </w:p>
    <w:p w14:paraId="3C83A307" w14:textId="77777777" w:rsidR="006F47FF" w:rsidRDefault="006F47FF" w:rsidP="005A0814">
      <w:pPr>
        <w:autoSpaceDE w:val="0"/>
        <w:autoSpaceDN w:val="0"/>
        <w:adjustRightInd w:val="0"/>
        <w:rPr>
          <w:rFonts w:asciiTheme="minorHAnsi" w:hAnsiTheme="minorHAnsi" w:cstheme="minorHAnsi"/>
          <w:lang w:eastAsia="en-US"/>
        </w:rPr>
      </w:pPr>
    </w:p>
    <w:p w14:paraId="5B272F6C" w14:textId="77777777" w:rsidR="0009223E" w:rsidRDefault="0009223E" w:rsidP="005A0814">
      <w:pPr>
        <w:autoSpaceDE w:val="0"/>
        <w:autoSpaceDN w:val="0"/>
        <w:adjustRightInd w:val="0"/>
        <w:rPr>
          <w:rFonts w:asciiTheme="minorHAnsi" w:hAnsiTheme="minorHAnsi" w:cstheme="minorHAnsi"/>
          <w:lang w:eastAsia="en-US"/>
        </w:rPr>
      </w:pPr>
    </w:p>
    <w:p w14:paraId="5491203A" w14:textId="77777777" w:rsidR="0009223E" w:rsidRPr="005A0814" w:rsidRDefault="0009223E" w:rsidP="005A0814">
      <w:pPr>
        <w:autoSpaceDE w:val="0"/>
        <w:autoSpaceDN w:val="0"/>
        <w:adjustRightInd w:val="0"/>
        <w:rPr>
          <w:rFonts w:asciiTheme="minorHAnsi" w:hAnsiTheme="minorHAnsi" w:cstheme="minorHAnsi"/>
          <w:lang w:eastAsia="en-US"/>
        </w:rPr>
      </w:pPr>
    </w:p>
    <w:p w14:paraId="5B5AE68A" w14:textId="77777777" w:rsidR="00AA2454" w:rsidRPr="0028189D" w:rsidRDefault="00AA2454" w:rsidP="0028189D">
      <w:pPr>
        <w:rPr>
          <w:rFonts w:asciiTheme="minorHAnsi" w:hAnsiTheme="minorHAnsi" w:cstheme="minorHAnsi"/>
          <w:lang w:eastAsia="en-US"/>
        </w:rPr>
      </w:pPr>
    </w:p>
    <w:p w14:paraId="21D57B70" w14:textId="3C49B225" w:rsidR="0028189D" w:rsidRPr="0028189D" w:rsidRDefault="0028189D" w:rsidP="00AA2454">
      <w:pPr>
        <w:numPr>
          <w:ilvl w:val="0"/>
          <w:numId w:val="1"/>
        </w:numPr>
        <w:contextualSpacing/>
        <w:rPr>
          <w:rFonts w:asciiTheme="minorHAnsi" w:hAnsiTheme="minorHAnsi" w:cstheme="minorHAnsi"/>
          <w:b/>
          <w:lang w:eastAsia="en-US"/>
        </w:rPr>
      </w:pPr>
      <w:r w:rsidRPr="0028189D">
        <w:rPr>
          <w:rFonts w:asciiTheme="minorHAnsi" w:hAnsiTheme="minorHAnsi" w:cstheme="minorHAnsi"/>
          <w:b/>
          <w:lang w:eastAsia="en-US"/>
        </w:rPr>
        <w:tab/>
      </w:r>
      <w:r w:rsidR="00B05A06">
        <w:rPr>
          <w:rFonts w:asciiTheme="minorHAnsi" w:hAnsiTheme="minorHAnsi" w:cstheme="minorHAnsi"/>
          <w:b/>
          <w:lang w:eastAsia="en-US"/>
        </w:rPr>
        <w:t>Nærmere krav til variabel godtgjørelse for ansatte med vesentlig innvirkning på bankens risikoprofil</w:t>
      </w:r>
    </w:p>
    <w:p w14:paraId="15ED3714" w14:textId="77777777" w:rsidR="0028189D" w:rsidRPr="0028189D" w:rsidRDefault="0028189D" w:rsidP="0028189D">
      <w:pPr>
        <w:autoSpaceDE w:val="0"/>
        <w:autoSpaceDN w:val="0"/>
        <w:adjustRightInd w:val="0"/>
        <w:rPr>
          <w:rFonts w:asciiTheme="minorHAnsi" w:hAnsiTheme="minorHAnsi" w:cstheme="minorHAnsi"/>
          <w:lang w:eastAsia="en-US"/>
        </w:rPr>
      </w:pPr>
    </w:p>
    <w:p w14:paraId="52B0D3DD" w14:textId="3B9F5995" w:rsidR="00B05A06" w:rsidRPr="00407D6B" w:rsidRDefault="00B05A06" w:rsidP="00407D6B">
      <w:pPr>
        <w:numPr>
          <w:ilvl w:val="1"/>
          <w:numId w:val="1"/>
        </w:numPr>
        <w:contextualSpacing/>
        <w:rPr>
          <w:rFonts w:asciiTheme="minorHAnsi" w:hAnsiTheme="minorHAnsi" w:cstheme="minorHAnsi"/>
          <w:b/>
          <w:lang w:eastAsia="en-US"/>
        </w:rPr>
      </w:pPr>
      <w:r w:rsidRPr="00407D6B">
        <w:rPr>
          <w:rFonts w:asciiTheme="minorHAnsi" w:hAnsiTheme="minorHAnsi" w:cstheme="minorHAnsi"/>
          <w:b/>
          <w:lang w:eastAsia="en-US"/>
        </w:rPr>
        <w:t>Innledning</w:t>
      </w:r>
    </w:p>
    <w:p w14:paraId="1A27B8BB" w14:textId="77777777" w:rsidR="00B05A06" w:rsidRDefault="00B05A06" w:rsidP="001A3944">
      <w:pPr>
        <w:rPr>
          <w:rFonts w:asciiTheme="minorHAnsi" w:hAnsiTheme="minorHAnsi" w:cstheme="minorHAnsi"/>
          <w:lang w:eastAsia="en-US"/>
        </w:rPr>
      </w:pPr>
    </w:p>
    <w:p w14:paraId="6ABD0818" w14:textId="51A13359" w:rsidR="00B05A06" w:rsidRDefault="00B05A06" w:rsidP="001A3944">
      <w:pPr>
        <w:rPr>
          <w:rFonts w:asciiTheme="minorHAnsi" w:hAnsiTheme="minorHAnsi" w:cstheme="minorHAnsi"/>
          <w:lang w:eastAsia="en-US"/>
        </w:rPr>
      </w:pPr>
      <w:r>
        <w:rPr>
          <w:rFonts w:asciiTheme="minorHAnsi" w:hAnsiTheme="minorHAnsi" w:cstheme="minorHAnsi"/>
          <w:lang w:eastAsia="en-US"/>
        </w:rPr>
        <w:t xml:space="preserve">Variabel godtgjørelse til ansatte med vesentlig innvirkning på bankens risikoprofil, skal i tillegg </w:t>
      </w:r>
      <w:r w:rsidR="008F2D6C">
        <w:rPr>
          <w:rFonts w:asciiTheme="minorHAnsi" w:hAnsiTheme="minorHAnsi" w:cstheme="minorHAnsi"/>
          <w:lang w:eastAsia="en-US"/>
        </w:rPr>
        <w:t xml:space="preserve">oppfylle kravene </w:t>
      </w:r>
      <w:r>
        <w:rPr>
          <w:rFonts w:asciiTheme="minorHAnsi" w:hAnsiTheme="minorHAnsi" w:cstheme="minorHAnsi"/>
          <w:lang w:eastAsia="en-US"/>
        </w:rPr>
        <w:t>i dette punkt 5.</w:t>
      </w:r>
    </w:p>
    <w:p w14:paraId="3AB109CD" w14:textId="77777777" w:rsidR="00B05A06" w:rsidRDefault="00B05A06" w:rsidP="001A3944">
      <w:pPr>
        <w:rPr>
          <w:rFonts w:asciiTheme="minorHAnsi" w:hAnsiTheme="minorHAnsi" w:cstheme="minorHAnsi"/>
          <w:lang w:eastAsia="en-US"/>
        </w:rPr>
      </w:pPr>
    </w:p>
    <w:p w14:paraId="249D1CDF" w14:textId="28252B2A" w:rsidR="00B05A06" w:rsidRDefault="00B05A06" w:rsidP="001A3944">
      <w:pPr>
        <w:rPr>
          <w:rFonts w:asciiTheme="minorHAnsi" w:hAnsiTheme="minorHAnsi" w:cstheme="minorHAnsi"/>
          <w:lang w:eastAsia="en-US"/>
        </w:rPr>
      </w:pPr>
      <w:r>
        <w:rPr>
          <w:rFonts w:asciiTheme="minorHAnsi" w:hAnsiTheme="minorHAnsi" w:cstheme="minorHAnsi"/>
          <w:lang w:eastAsia="en-US"/>
        </w:rPr>
        <w:t xml:space="preserve">Følgende </w:t>
      </w:r>
      <w:r w:rsidR="002552C4">
        <w:rPr>
          <w:rFonts w:asciiTheme="minorHAnsi" w:hAnsiTheme="minorHAnsi" w:cstheme="minorHAnsi"/>
          <w:lang w:eastAsia="en-US"/>
        </w:rPr>
        <w:t xml:space="preserve">ansatte </w:t>
      </w:r>
      <w:r>
        <w:rPr>
          <w:rFonts w:asciiTheme="minorHAnsi" w:hAnsiTheme="minorHAnsi" w:cstheme="minorHAnsi"/>
          <w:lang w:eastAsia="en-US"/>
        </w:rPr>
        <w:t>regnes for å ha vesentlig innvirkning på bankens risikoprofil:</w:t>
      </w:r>
    </w:p>
    <w:p w14:paraId="1D037E2A" w14:textId="77777777" w:rsidR="001A3944" w:rsidRPr="001A3944" w:rsidRDefault="001A3944" w:rsidP="001A3944">
      <w:pPr>
        <w:ind w:left="708"/>
        <w:rPr>
          <w:rFonts w:asciiTheme="minorHAnsi" w:hAnsiTheme="minorHAnsi" w:cstheme="minorHAnsi"/>
          <w:lang w:eastAsia="en-US"/>
        </w:rPr>
      </w:pPr>
    </w:p>
    <w:p w14:paraId="218CC634" w14:textId="77777777" w:rsidR="001A3944" w:rsidRPr="001A3944" w:rsidRDefault="001A3944" w:rsidP="001A3944">
      <w:pPr>
        <w:ind w:left="708"/>
        <w:rPr>
          <w:rFonts w:asciiTheme="minorHAnsi" w:hAnsiTheme="minorHAnsi" w:cstheme="minorHAnsi"/>
          <w:lang w:eastAsia="en-US"/>
        </w:rPr>
      </w:pPr>
      <w:r w:rsidRPr="001A3944">
        <w:rPr>
          <w:rFonts w:asciiTheme="minorHAnsi" w:hAnsiTheme="minorHAnsi" w:cstheme="minorHAnsi"/>
          <w:lang w:eastAsia="en-US"/>
        </w:rPr>
        <w:t>Administrerende direktør</w:t>
      </w:r>
    </w:p>
    <w:p w14:paraId="309C7489" w14:textId="77777777" w:rsidR="001A3944" w:rsidRPr="001A3944" w:rsidRDefault="001A3944" w:rsidP="001A3944">
      <w:pPr>
        <w:ind w:left="708"/>
        <w:rPr>
          <w:rFonts w:asciiTheme="minorHAnsi" w:hAnsiTheme="minorHAnsi" w:cstheme="minorHAnsi"/>
          <w:lang w:eastAsia="en-US"/>
        </w:rPr>
      </w:pPr>
      <w:r w:rsidRPr="001A3944">
        <w:rPr>
          <w:rFonts w:asciiTheme="minorHAnsi" w:hAnsiTheme="minorHAnsi" w:cstheme="minorHAnsi"/>
          <w:lang w:eastAsia="en-US"/>
        </w:rPr>
        <w:t>Viseadministrerende direktør</w:t>
      </w:r>
    </w:p>
    <w:p w14:paraId="7D2F75B8" w14:textId="4B885A46" w:rsidR="001A3944" w:rsidRPr="001A3944" w:rsidRDefault="00EE7644" w:rsidP="00794676">
      <w:pPr>
        <w:ind w:firstLine="708"/>
        <w:rPr>
          <w:rFonts w:asciiTheme="minorHAnsi" w:hAnsiTheme="minorHAnsi" w:cstheme="minorHAnsi"/>
          <w:lang w:eastAsia="en-US"/>
        </w:rPr>
      </w:pPr>
      <w:r>
        <w:rPr>
          <w:rFonts w:asciiTheme="minorHAnsi" w:hAnsiTheme="minorHAnsi" w:cstheme="minorHAnsi"/>
          <w:lang w:eastAsia="en-US"/>
        </w:rPr>
        <w:t>M</w:t>
      </w:r>
      <w:r w:rsidR="00A100B5">
        <w:rPr>
          <w:rFonts w:asciiTheme="minorHAnsi" w:hAnsiTheme="minorHAnsi" w:cstheme="minorHAnsi"/>
          <w:lang w:eastAsia="en-US"/>
        </w:rPr>
        <w:t>edlemmer i toppledergruppen</w:t>
      </w:r>
    </w:p>
    <w:p w14:paraId="7AE29950" w14:textId="77777777" w:rsidR="001A3944" w:rsidRPr="001A3944" w:rsidRDefault="001A3944" w:rsidP="001A3944">
      <w:pPr>
        <w:ind w:left="708"/>
        <w:rPr>
          <w:rFonts w:asciiTheme="minorHAnsi" w:hAnsiTheme="minorHAnsi" w:cstheme="minorHAnsi"/>
          <w:lang w:eastAsia="en-US"/>
        </w:rPr>
      </w:pPr>
    </w:p>
    <w:p w14:paraId="187536FC" w14:textId="77777777" w:rsidR="001A3944" w:rsidRPr="001A3944" w:rsidRDefault="001A3944" w:rsidP="001A3944">
      <w:pPr>
        <w:ind w:left="708"/>
        <w:rPr>
          <w:rFonts w:asciiTheme="minorHAnsi" w:hAnsiTheme="minorHAnsi" w:cstheme="minorHAnsi"/>
          <w:lang w:eastAsia="en-US"/>
        </w:rPr>
      </w:pPr>
      <w:r w:rsidRPr="001A3944">
        <w:rPr>
          <w:rFonts w:asciiTheme="minorHAnsi" w:hAnsiTheme="minorHAnsi" w:cstheme="minorHAnsi"/>
          <w:lang w:eastAsia="en-US"/>
        </w:rPr>
        <w:t>Avdelingssjef risikostyring</w:t>
      </w:r>
    </w:p>
    <w:p w14:paraId="63CB21FC" w14:textId="77777777" w:rsidR="001A3944" w:rsidRPr="001A3944" w:rsidRDefault="001A3944" w:rsidP="001A3944">
      <w:pPr>
        <w:ind w:left="708"/>
        <w:rPr>
          <w:rFonts w:asciiTheme="minorHAnsi" w:hAnsiTheme="minorHAnsi" w:cstheme="minorHAnsi"/>
          <w:lang w:eastAsia="en-US"/>
        </w:rPr>
      </w:pPr>
      <w:r w:rsidRPr="001A3944">
        <w:rPr>
          <w:rFonts w:asciiTheme="minorHAnsi" w:hAnsiTheme="minorHAnsi" w:cstheme="minorHAnsi"/>
          <w:lang w:eastAsia="en-US"/>
        </w:rPr>
        <w:t>Avdelingssjef etterlevelse</w:t>
      </w:r>
    </w:p>
    <w:p w14:paraId="29FB3778" w14:textId="77777777" w:rsidR="0028189D" w:rsidRPr="0028189D" w:rsidRDefault="0028189D" w:rsidP="0028189D">
      <w:pPr>
        <w:autoSpaceDE w:val="0"/>
        <w:autoSpaceDN w:val="0"/>
        <w:adjustRightInd w:val="0"/>
        <w:rPr>
          <w:rFonts w:asciiTheme="minorHAnsi" w:hAnsiTheme="minorHAnsi" w:cstheme="minorHAnsi"/>
          <w:lang w:eastAsia="en-US"/>
        </w:rPr>
      </w:pPr>
    </w:p>
    <w:p w14:paraId="371CD3C9" w14:textId="1B2CEABA" w:rsidR="000E6AEF" w:rsidRPr="00202FDA" w:rsidRDefault="00556C4B" w:rsidP="0028189D">
      <w:pPr>
        <w:rPr>
          <w:rFonts w:asciiTheme="minorHAnsi" w:hAnsiTheme="minorHAnsi" w:cstheme="minorHAnsi"/>
        </w:rPr>
      </w:pPr>
      <w:r w:rsidRPr="00202FDA">
        <w:rPr>
          <w:rFonts w:asciiTheme="minorHAnsi" w:hAnsiTheme="minorHAnsi" w:cstheme="minorHAnsi"/>
        </w:rPr>
        <w:t xml:space="preserve">Styret har ansvar for å påse at banken til enhver tid definerer hvilke kategorier av ansatte som regnes å ha vesentlig innvirkning på bankens risikoprofil. Listen skal til enhver tid holdes oppdatert, i tillegg til å være gjenstand for styrets regelmessige gjennomgang av retningslinjen, jf. punkt </w:t>
      </w:r>
      <w:r w:rsidR="008F2D6C" w:rsidRPr="00202FDA">
        <w:rPr>
          <w:rFonts w:asciiTheme="minorHAnsi" w:hAnsiTheme="minorHAnsi" w:cstheme="minorHAnsi"/>
        </w:rPr>
        <w:t>4.1</w:t>
      </w:r>
      <w:r w:rsidRPr="00202FDA">
        <w:rPr>
          <w:rFonts w:asciiTheme="minorHAnsi" w:hAnsiTheme="minorHAnsi" w:cstheme="minorHAnsi"/>
        </w:rPr>
        <w:t>.</w:t>
      </w:r>
    </w:p>
    <w:p w14:paraId="65D11B7B" w14:textId="77777777" w:rsidR="00556C4B" w:rsidRDefault="00556C4B" w:rsidP="0028189D"/>
    <w:p w14:paraId="1D66BA95" w14:textId="3017B516" w:rsidR="00556C4B" w:rsidRPr="00BB52F6" w:rsidRDefault="0038036D" w:rsidP="00BB52F6">
      <w:pPr>
        <w:numPr>
          <w:ilvl w:val="1"/>
          <w:numId w:val="1"/>
        </w:numPr>
        <w:contextualSpacing/>
        <w:rPr>
          <w:rFonts w:asciiTheme="minorHAnsi" w:hAnsiTheme="minorHAnsi" w:cstheme="minorHAnsi"/>
          <w:b/>
          <w:lang w:eastAsia="en-US"/>
        </w:rPr>
      </w:pPr>
      <w:r>
        <w:rPr>
          <w:rFonts w:asciiTheme="minorHAnsi" w:hAnsiTheme="minorHAnsi" w:cstheme="minorHAnsi"/>
          <w:b/>
          <w:lang w:eastAsia="en-US"/>
        </w:rPr>
        <w:t>Generelle krav til v</w:t>
      </w:r>
      <w:r w:rsidR="00556C4B" w:rsidRPr="00BB52F6">
        <w:rPr>
          <w:rFonts w:asciiTheme="minorHAnsi" w:hAnsiTheme="minorHAnsi" w:cstheme="minorHAnsi"/>
          <w:b/>
          <w:lang w:eastAsia="en-US"/>
        </w:rPr>
        <w:t>ariabel godtgjørelse</w:t>
      </w:r>
    </w:p>
    <w:p w14:paraId="0910B149" w14:textId="77777777" w:rsidR="00556C4B" w:rsidRDefault="00556C4B" w:rsidP="00556C4B"/>
    <w:p w14:paraId="6C18EBD7" w14:textId="00E8BB90" w:rsidR="00556C4B" w:rsidRPr="00202FDA" w:rsidRDefault="0038036D" w:rsidP="00556C4B">
      <w:pPr>
        <w:rPr>
          <w:rFonts w:asciiTheme="minorHAnsi" w:hAnsiTheme="minorHAnsi" w:cstheme="minorHAnsi"/>
        </w:rPr>
      </w:pPr>
      <w:r w:rsidRPr="00202FDA">
        <w:rPr>
          <w:rFonts w:asciiTheme="minorHAnsi" w:hAnsiTheme="minorHAnsi" w:cstheme="minorHAnsi"/>
        </w:rPr>
        <w:t>Følgende krav gjelder generelt for variabel godtgjørelse:</w:t>
      </w:r>
    </w:p>
    <w:p w14:paraId="131C9404" w14:textId="47A2DE77" w:rsidR="00556C4B" w:rsidRPr="00202FDA" w:rsidRDefault="00556C4B" w:rsidP="00BB52F6">
      <w:pPr>
        <w:pStyle w:val="Listeavsnitt"/>
        <w:numPr>
          <w:ilvl w:val="0"/>
          <w:numId w:val="8"/>
        </w:numPr>
        <w:rPr>
          <w:rFonts w:asciiTheme="minorHAnsi" w:hAnsiTheme="minorHAnsi" w:cstheme="minorHAnsi"/>
        </w:rPr>
      </w:pPr>
      <w:r w:rsidRPr="00202FDA">
        <w:rPr>
          <w:rFonts w:asciiTheme="minorHAnsi" w:hAnsiTheme="minorHAnsi" w:cstheme="minorHAnsi"/>
        </w:rPr>
        <w:t>Total variabel godtgjørelse skal ikke redusere bankens evne til å styrke sitt kapitalgrunnlag.</w:t>
      </w:r>
    </w:p>
    <w:p w14:paraId="4A670923" w14:textId="6C9F4E73" w:rsidR="00556C4B" w:rsidRPr="00202FDA" w:rsidRDefault="00556C4B" w:rsidP="00BB52F6">
      <w:pPr>
        <w:pStyle w:val="Listeavsnitt"/>
        <w:numPr>
          <w:ilvl w:val="0"/>
          <w:numId w:val="8"/>
        </w:numPr>
        <w:rPr>
          <w:rFonts w:asciiTheme="minorHAnsi" w:hAnsiTheme="minorHAnsi" w:cstheme="minorHAnsi"/>
        </w:rPr>
      </w:pPr>
      <w:r w:rsidRPr="00202FDA">
        <w:rPr>
          <w:rFonts w:asciiTheme="minorHAnsi" w:hAnsiTheme="minorHAnsi" w:cstheme="minorHAnsi"/>
        </w:rPr>
        <w:t xml:space="preserve">Godtgjørelsen skal baseres på en kombinert vurdering av personens finansielle og ikke-finansielle resultater for den aktuelle forretningsenheten, samt bankens totale resultater. Resultatvurderingen skal baseres på en periode på </w:t>
      </w:r>
      <w:r w:rsidR="00DD76A1" w:rsidRPr="00202FDA">
        <w:rPr>
          <w:rFonts w:asciiTheme="minorHAnsi" w:hAnsiTheme="minorHAnsi" w:cstheme="minorHAnsi"/>
        </w:rPr>
        <w:t xml:space="preserve">minst </w:t>
      </w:r>
      <w:r w:rsidRPr="00202FDA">
        <w:rPr>
          <w:rFonts w:asciiTheme="minorHAnsi" w:hAnsiTheme="minorHAnsi" w:cstheme="minorHAnsi"/>
        </w:rPr>
        <w:t>2 år.</w:t>
      </w:r>
    </w:p>
    <w:p w14:paraId="6DD65995" w14:textId="10A0DBAD" w:rsidR="00556C4B" w:rsidRPr="00202FDA" w:rsidRDefault="00556C4B" w:rsidP="00BB52F6">
      <w:pPr>
        <w:pStyle w:val="Listeavsnitt"/>
        <w:numPr>
          <w:ilvl w:val="0"/>
          <w:numId w:val="8"/>
        </w:numPr>
        <w:rPr>
          <w:rFonts w:asciiTheme="minorHAnsi" w:hAnsiTheme="minorHAnsi" w:cstheme="minorHAnsi"/>
        </w:rPr>
      </w:pPr>
      <w:r w:rsidRPr="00202FDA">
        <w:rPr>
          <w:rFonts w:asciiTheme="minorHAnsi" w:hAnsiTheme="minorHAnsi" w:cstheme="minorHAnsi"/>
        </w:rPr>
        <w:t xml:space="preserve">Sammensetningen av fast og variabel godtgjørelse skal være balansert. Variabel godtgjørelse skal aldri utgjøre mer enn </w:t>
      </w:r>
      <w:r w:rsidR="00DD76A1" w:rsidRPr="00202FDA">
        <w:rPr>
          <w:rFonts w:asciiTheme="minorHAnsi" w:hAnsiTheme="minorHAnsi" w:cstheme="minorHAnsi"/>
        </w:rPr>
        <w:t xml:space="preserve">halvparten </w:t>
      </w:r>
      <w:r w:rsidRPr="00202FDA">
        <w:rPr>
          <w:rFonts w:asciiTheme="minorHAnsi" w:hAnsiTheme="minorHAnsi" w:cstheme="minorHAnsi"/>
        </w:rPr>
        <w:t xml:space="preserve">av den faste godtgjørelsen. </w:t>
      </w:r>
    </w:p>
    <w:p w14:paraId="63B4A4F6" w14:textId="62BDFB0E" w:rsidR="00556C4B" w:rsidRPr="00202FDA" w:rsidRDefault="008F2D6C" w:rsidP="00BB52F6">
      <w:pPr>
        <w:pStyle w:val="Listeavsnitt"/>
        <w:numPr>
          <w:ilvl w:val="0"/>
          <w:numId w:val="8"/>
        </w:numPr>
        <w:rPr>
          <w:rFonts w:asciiTheme="minorHAnsi" w:hAnsiTheme="minorHAnsi" w:cstheme="minorHAnsi"/>
        </w:rPr>
      </w:pPr>
      <w:r w:rsidRPr="00202FDA">
        <w:rPr>
          <w:rFonts w:asciiTheme="minorHAnsi" w:hAnsiTheme="minorHAnsi" w:cstheme="minorHAnsi"/>
        </w:rPr>
        <w:t xml:space="preserve">Metoden for måling av resultater som legges til grunn for beregningen av variabel godtgjørelse, skal justeres for alle former for eksisterende og fremtidige risikoer, og det skal tas hensyn til </w:t>
      </w:r>
      <w:r w:rsidR="00556C4B" w:rsidRPr="00202FDA">
        <w:rPr>
          <w:rFonts w:asciiTheme="minorHAnsi" w:hAnsiTheme="minorHAnsi" w:cstheme="minorHAnsi"/>
        </w:rPr>
        <w:t>kostnade</w:t>
      </w:r>
      <w:r w:rsidRPr="00202FDA">
        <w:rPr>
          <w:rFonts w:asciiTheme="minorHAnsi" w:hAnsiTheme="minorHAnsi" w:cstheme="minorHAnsi"/>
        </w:rPr>
        <w:t xml:space="preserve">ne til </w:t>
      </w:r>
      <w:r w:rsidR="00556C4B" w:rsidRPr="00202FDA">
        <w:rPr>
          <w:rFonts w:asciiTheme="minorHAnsi" w:hAnsiTheme="minorHAnsi" w:cstheme="minorHAnsi"/>
        </w:rPr>
        <w:t xml:space="preserve">nødvendig kapital og likviditet. </w:t>
      </w:r>
    </w:p>
    <w:p w14:paraId="24294FA1" w14:textId="3A5BF5CC" w:rsidR="00556C4B" w:rsidRPr="00202FDA" w:rsidRDefault="00556C4B" w:rsidP="00BB52F6">
      <w:pPr>
        <w:pStyle w:val="Listeavsnitt"/>
        <w:numPr>
          <w:ilvl w:val="0"/>
          <w:numId w:val="8"/>
        </w:numPr>
        <w:rPr>
          <w:rFonts w:asciiTheme="minorHAnsi" w:hAnsiTheme="minorHAnsi" w:cstheme="minorHAnsi"/>
        </w:rPr>
      </w:pPr>
      <w:r w:rsidRPr="00202FDA">
        <w:rPr>
          <w:rFonts w:asciiTheme="minorHAnsi" w:hAnsiTheme="minorHAnsi" w:cstheme="minorHAnsi"/>
        </w:rPr>
        <w:t xml:space="preserve">Fordelingen av variable godtgjørelseselementer internt i banken skal </w:t>
      </w:r>
      <w:r w:rsidR="008F2D6C" w:rsidRPr="00202FDA">
        <w:rPr>
          <w:rFonts w:asciiTheme="minorHAnsi" w:hAnsiTheme="minorHAnsi" w:cstheme="minorHAnsi"/>
        </w:rPr>
        <w:t xml:space="preserve">også </w:t>
      </w:r>
      <w:r w:rsidRPr="00202FDA">
        <w:rPr>
          <w:rFonts w:asciiTheme="minorHAnsi" w:hAnsiTheme="minorHAnsi" w:cstheme="minorHAnsi"/>
        </w:rPr>
        <w:t xml:space="preserve">ta hensyn til alle former for eksisterende eller fremtidige risikoer. </w:t>
      </w:r>
    </w:p>
    <w:p w14:paraId="5FE09A4B" w14:textId="64912673" w:rsidR="00556C4B" w:rsidRPr="00202FDA" w:rsidRDefault="00556C4B" w:rsidP="00BB52F6">
      <w:pPr>
        <w:pStyle w:val="Listeavsnitt"/>
        <w:numPr>
          <w:ilvl w:val="0"/>
          <w:numId w:val="8"/>
        </w:numPr>
        <w:rPr>
          <w:rFonts w:asciiTheme="minorHAnsi" w:hAnsiTheme="minorHAnsi" w:cstheme="minorHAnsi"/>
        </w:rPr>
      </w:pPr>
      <w:r w:rsidRPr="00202FDA">
        <w:rPr>
          <w:rFonts w:asciiTheme="minorHAnsi" w:hAnsiTheme="minorHAnsi" w:cstheme="minorHAnsi"/>
        </w:rPr>
        <w:t>Ansatte skal ikke ha avtaler eller forsikringer som undergraver den risikoreduserende effekten av godtgjørelsesordningen, eller som sikrer mot bortfall av prestasjonsbetinget godtgjørelse.</w:t>
      </w:r>
    </w:p>
    <w:p w14:paraId="468C2209" w14:textId="0DE5B0B5" w:rsidR="00556C4B" w:rsidRPr="00202FDA" w:rsidRDefault="003528EB">
      <w:pPr>
        <w:pStyle w:val="Listeavsnitt"/>
        <w:numPr>
          <w:ilvl w:val="0"/>
          <w:numId w:val="8"/>
        </w:numPr>
        <w:rPr>
          <w:rFonts w:asciiTheme="minorHAnsi" w:hAnsiTheme="minorHAnsi" w:cstheme="minorHAnsi"/>
        </w:rPr>
      </w:pPr>
      <w:r w:rsidRPr="00202FDA">
        <w:rPr>
          <w:rFonts w:asciiTheme="minorHAnsi" w:hAnsiTheme="minorHAnsi" w:cstheme="minorHAnsi"/>
        </w:rPr>
        <w:t xml:space="preserve">Ansatte som utfører </w:t>
      </w:r>
      <w:proofErr w:type="gramStart"/>
      <w:r w:rsidRPr="00202FDA">
        <w:rPr>
          <w:rFonts w:asciiTheme="minorHAnsi" w:hAnsiTheme="minorHAnsi" w:cstheme="minorHAnsi"/>
        </w:rPr>
        <w:t>kontrollfunksjoner</w:t>
      </w:r>
      <w:proofErr w:type="gramEnd"/>
      <w:r w:rsidRPr="00202FDA">
        <w:rPr>
          <w:rFonts w:asciiTheme="minorHAnsi" w:hAnsiTheme="minorHAnsi" w:cstheme="minorHAnsi"/>
        </w:rPr>
        <w:t xml:space="preserve"> </w:t>
      </w:r>
      <w:r w:rsidR="00556C4B" w:rsidRPr="00202FDA">
        <w:rPr>
          <w:rFonts w:asciiTheme="minorHAnsi" w:hAnsiTheme="minorHAnsi" w:cstheme="minorHAnsi"/>
        </w:rPr>
        <w:t xml:space="preserve">skal </w:t>
      </w:r>
      <w:r w:rsidRPr="00202FDA">
        <w:rPr>
          <w:rFonts w:asciiTheme="minorHAnsi" w:hAnsiTheme="minorHAnsi" w:cstheme="minorHAnsi"/>
        </w:rPr>
        <w:t>godtgjøres i samsvar med måloppnåelse knyttet til deres funksjoner uavhengig av resultatet i forretningsområdet de kontrollerer</w:t>
      </w:r>
      <w:r w:rsidR="00556C4B" w:rsidRPr="00202FDA">
        <w:rPr>
          <w:rFonts w:asciiTheme="minorHAnsi" w:hAnsiTheme="minorHAnsi" w:cstheme="minorHAnsi"/>
        </w:rPr>
        <w:t>.</w:t>
      </w:r>
    </w:p>
    <w:p w14:paraId="2DF92EFA" w14:textId="794530D2" w:rsidR="00975C7B" w:rsidRPr="00202FDA" w:rsidRDefault="00975C7B" w:rsidP="00BB52F6">
      <w:pPr>
        <w:pStyle w:val="Listeavsnitt"/>
        <w:numPr>
          <w:ilvl w:val="0"/>
          <w:numId w:val="8"/>
        </w:numPr>
        <w:rPr>
          <w:rFonts w:asciiTheme="minorHAnsi" w:hAnsiTheme="minorHAnsi" w:cstheme="minorHAnsi"/>
        </w:rPr>
      </w:pPr>
      <w:r w:rsidRPr="00202FDA">
        <w:rPr>
          <w:rFonts w:asciiTheme="minorHAnsi" w:hAnsiTheme="minorHAnsi" w:cstheme="minorHAnsi"/>
        </w:rPr>
        <w:t>Sluttvederlag (etterlønn) ved opphør av arbeidsforhold skal tilpasses de resultater som er oppnådd overtid, og utformes slik at manglende resultater eller forsømmelser ikke blir belønnet.</w:t>
      </w:r>
    </w:p>
    <w:p w14:paraId="0902979A" w14:textId="77777777" w:rsidR="00556C4B" w:rsidRDefault="00556C4B" w:rsidP="00556C4B"/>
    <w:p w14:paraId="2C4938A8" w14:textId="4BB0DB72" w:rsidR="0038036D" w:rsidRPr="0038036D" w:rsidRDefault="0038036D" w:rsidP="0038036D">
      <w:pPr>
        <w:numPr>
          <w:ilvl w:val="1"/>
          <w:numId w:val="1"/>
        </w:numPr>
        <w:contextualSpacing/>
        <w:rPr>
          <w:rFonts w:asciiTheme="minorHAnsi" w:hAnsiTheme="minorHAnsi" w:cstheme="minorHAnsi"/>
          <w:b/>
          <w:lang w:eastAsia="en-US"/>
        </w:rPr>
      </w:pPr>
      <w:r w:rsidRPr="0038036D">
        <w:rPr>
          <w:rFonts w:asciiTheme="minorHAnsi" w:hAnsiTheme="minorHAnsi" w:cstheme="minorHAnsi"/>
          <w:b/>
          <w:lang w:eastAsia="en-US"/>
        </w:rPr>
        <w:t>Grunnlaget for vurderingen av fastsettelse av variabel godtgjørelse</w:t>
      </w:r>
    </w:p>
    <w:p w14:paraId="2F353249" w14:textId="77777777" w:rsidR="0038036D" w:rsidRPr="0038036D" w:rsidRDefault="0038036D" w:rsidP="00556C4B"/>
    <w:p w14:paraId="437EAABD" w14:textId="5E5CF523" w:rsidR="00556C4B" w:rsidRPr="00202FDA" w:rsidRDefault="00556C4B" w:rsidP="00556C4B">
      <w:pPr>
        <w:rPr>
          <w:rFonts w:asciiTheme="minorHAnsi" w:hAnsiTheme="minorHAnsi" w:cstheme="minorHAnsi"/>
          <w:u w:val="single"/>
        </w:rPr>
      </w:pPr>
      <w:r w:rsidRPr="00202FDA">
        <w:rPr>
          <w:rFonts w:asciiTheme="minorHAnsi" w:hAnsiTheme="minorHAnsi" w:cstheme="minorHAnsi"/>
          <w:u w:val="single"/>
        </w:rPr>
        <w:t>Vurdering av den ansattes resultat:</w:t>
      </w:r>
    </w:p>
    <w:p w14:paraId="6D68EC8C" w14:textId="58AE8408" w:rsidR="00556C4B" w:rsidRPr="00202FDA" w:rsidRDefault="00DD76A1" w:rsidP="00556C4B">
      <w:pPr>
        <w:rPr>
          <w:rFonts w:asciiTheme="minorHAnsi" w:hAnsiTheme="minorHAnsi" w:cstheme="minorHAnsi"/>
        </w:rPr>
      </w:pPr>
      <w:r w:rsidRPr="00202FDA">
        <w:rPr>
          <w:rFonts w:asciiTheme="minorHAnsi" w:hAnsiTheme="minorHAnsi" w:cstheme="minorHAnsi"/>
        </w:rPr>
        <w:t>F</w:t>
      </w:r>
      <w:r w:rsidR="00556C4B" w:rsidRPr="00202FDA">
        <w:rPr>
          <w:rFonts w:asciiTheme="minorHAnsi" w:hAnsiTheme="minorHAnsi" w:cstheme="minorHAnsi"/>
        </w:rPr>
        <w:t>or vurdering av den ansattes resultater skal banken legge til grunn både finansielle og ikke-finansielle resultater.</w:t>
      </w:r>
      <w:r w:rsidR="00152160" w:rsidRPr="00202FDA">
        <w:rPr>
          <w:rFonts w:asciiTheme="minorHAnsi" w:hAnsiTheme="minorHAnsi" w:cstheme="minorHAnsi"/>
        </w:rPr>
        <w:t xml:space="preserve"> Det skal legges vekt på bankens langsiktige finansielle mål, strategiske finansielle og ikke-finansielle mål, samt et diskresjonært godtgjørelseselement. I den diskresjonære vurderingen skal det hensyntas god ledelse, samhandling, etterlevelse av bankens verdigrunnlag og relevante </w:t>
      </w:r>
      <w:r w:rsidR="001E1B56" w:rsidRPr="00202FDA">
        <w:rPr>
          <w:rFonts w:asciiTheme="minorHAnsi" w:hAnsiTheme="minorHAnsi" w:cstheme="minorHAnsi"/>
        </w:rPr>
        <w:t xml:space="preserve">lover, forskrifter, rutiner, retningslinjer og god forretningsskikk, samt eventuelle spesielle fokusområder for det aktuelle året. </w:t>
      </w:r>
    </w:p>
    <w:p w14:paraId="73A58E37" w14:textId="72B564F1" w:rsidR="00556C4B" w:rsidRDefault="00556C4B" w:rsidP="00A56D65">
      <w:pPr>
        <w:pStyle w:val="Listeavsnitt"/>
      </w:pPr>
    </w:p>
    <w:p w14:paraId="314DBEE8" w14:textId="77777777" w:rsidR="00556C4B" w:rsidRDefault="00556C4B" w:rsidP="00556C4B"/>
    <w:p w14:paraId="0EA1858E" w14:textId="77777777" w:rsidR="00556C4B" w:rsidRPr="00202FDA" w:rsidRDefault="00556C4B" w:rsidP="00556C4B">
      <w:pPr>
        <w:rPr>
          <w:rFonts w:asciiTheme="minorHAnsi" w:hAnsiTheme="minorHAnsi" w:cstheme="minorHAnsi"/>
          <w:u w:val="single"/>
        </w:rPr>
      </w:pPr>
      <w:r w:rsidRPr="00202FDA">
        <w:rPr>
          <w:rFonts w:asciiTheme="minorHAnsi" w:hAnsiTheme="minorHAnsi" w:cstheme="minorHAnsi"/>
          <w:u w:val="single"/>
        </w:rPr>
        <w:t>Vurdering av bankens resultat:</w:t>
      </w:r>
    </w:p>
    <w:p w14:paraId="7B209750" w14:textId="74138C92" w:rsidR="001E1B56" w:rsidRPr="00202FDA" w:rsidRDefault="001E1B56" w:rsidP="001E1B56">
      <w:pPr>
        <w:rPr>
          <w:rFonts w:asciiTheme="minorHAnsi" w:hAnsiTheme="minorHAnsi" w:cstheme="minorHAnsi"/>
        </w:rPr>
      </w:pPr>
      <w:r w:rsidRPr="00202FDA">
        <w:rPr>
          <w:rFonts w:asciiTheme="minorHAnsi" w:hAnsiTheme="minorHAnsi" w:cstheme="minorHAnsi"/>
        </w:rPr>
        <w:t>Normalisert avkastning beregnet over minst to år og regnskapsresultater over minst to år justert for konjunktursykluser skal legges til grunn f</w:t>
      </w:r>
      <w:r w:rsidR="00556C4B" w:rsidRPr="00202FDA">
        <w:rPr>
          <w:rFonts w:asciiTheme="minorHAnsi" w:hAnsiTheme="minorHAnsi" w:cstheme="minorHAnsi"/>
        </w:rPr>
        <w:t>or vurdering av bankens resultat</w:t>
      </w:r>
      <w:r w:rsidRPr="00202FDA">
        <w:rPr>
          <w:rFonts w:asciiTheme="minorHAnsi" w:hAnsiTheme="minorHAnsi" w:cstheme="minorHAnsi"/>
        </w:rPr>
        <w:t>.</w:t>
      </w:r>
    </w:p>
    <w:p w14:paraId="76D188D2" w14:textId="77777777" w:rsidR="00556C4B" w:rsidRDefault="00556C4B" w:rsidP="00556C4B"/>
    <w:p w14:paraId="5F7AD57A" w14:textId="2141B243" w:rsidR="00556C4B" w:rsidRPr="0038036D" w:rsidRDefault="00556C4B" w:rsidP="0038036D">
      <w:pPr>
        <w:numPr>
          <w:ilvl w:val="1"/>
          <w:numId w:val="1"/>
        </w:numPr>
        <w:contextualSpacing/>
        <w:rPr>
          <w:rFonts w:asciiTheme="minorHAnsi" w:hAnsiTheme="minorHAnsi" w:cstheme="minorHAnsi"/>
          <w:b/>
          <w:lang w:eastAsia="en-US"/>
        </w:rPr>
      </w:pPr>
      <w:r w:rsidRPr="0038036D">
        <w:rPr>
          <w:rFonts w:asciiTheme="minorHAnsi" w:hAnsiTheme="minorHAnsi" w:cstheme="minorHAnsi"/>
          <w:b/>
          <w:lang w:eastAsia="en-US"/>
        </w:rPr>
        <w:t>Utbetaling</w:t>
      </w:r>
      <w:r w:rsidR="0038036D">
        <w:rPr>
          <w:rFonts w:asciiTheme="minorHAnsi" w:hAnsiTheme="minorHAnsi" w:cstheme="minorHAnsi"/>
          <w:b/>
          <w:lang w:eastAsia="en-US"/>
        </w:rPr>
        <w:t xml:space="preserve"> av variabel godtgjørelse</w:t>
      </w:r>
    </w:p>
    <w:p w14:paraId="065C8676" w14:textId="7145DC4E" w:rsidR="00556C4B" w:rsidRPr="00202FDA" w:rsidRDefault="00556C4B" w:rsidP="0038036D">
      <w:pPr>
        <w:rPr>
          <w:rFonts w:asciiTheme="minorHAnsi" w:hAnsiTheme="minorHAnsi" w:cstheme="minorHAnsi"/>
        </w:rPr>
      </w:pPr>
      <w:r w:rsidRPr="00202FDA">
        <w:rPr>
          <w:rFonts w:asciiTheme="minorHAnsi" w:hAnsiTheme="minorHAnsi" w:cstheme="minorHAnsi"/>
        </w:rPr>
        <w:t xml:space="preserve">Variabel godtgjørelse skal bare utbetales eller overføres med bindende virkning til den ansatte dersom det er forsvarlig ut fra bankens samlede økonomiske stilling, og berettiget ut fra bankens, den aktuelle forretningsenhetens og den ansattes resultater. </w:t>
      </w:r>
    </w:p>
    <w:p w14:paraId="5ECCF53F" w14:textId="77777777" w:rsidR="0038036D" w:rsidRPr="00202FDA" w:rsidRDefault="0038036D" w:rsidP="0038036D">
      <w:pPr>
        <w:rPr>
          <w:rFonts w:asciiTheme="minorHAnsi" w:hAnsiTheme="minorHAnsi" w:cstheme="minorHAnsi"/>
        </w:rPr>
      </w:pPr>
    </w:p>
    <w:p w14:paraId="269F07E1" w14:textId="174F7876" w:rsidR="00556C4B" w:rsidRPr="00202FDA" w:rsidRDefault="00556C4B" w:rsidP="0038036D">
      <w:pPr>
        <w:rPr>
          <w:rFonts w:asciiTheme="minorHAnsi" w:hAnsiTheme="minorHAnsi" w:cstheme="minorHAnsi"/>
        </w:rPr>
      </w:pPr>
      <w:r w:rsidRPr="00202FDA">
        <w:rPr>
          <w:rFonts w:asciiTheme="minorHAnsi" w:hAnsiTheme="minorHAnsi" w:cstheme="minorHAnsi"/>
        </w:rPr>
        <w:t>Variabel godtgjørelse skal ikke utbetales gjennom eierandeler i tilknyttede selskaper (indre selskap), eller gjennom andre finansielle ordninger eller metoder som innebærer en omgåelse av reglene om godtgjørelse.</w:t>
      </w:r>
    </w:p>
    <w:p w14:paraId="3DFE0041" w14:textId="77777777" w:rsidR="00556C4B" w:rsidRDefault="00556C4B" w:rsidP="00556C4B"/>
    <w:p w14:paraId="545C9C52" w14:textId="5A7A7EA0" w:rsidR="00556C4B" w:rsidRPr="0038036D" w:rsidRDefault="00556C4B" w:rsidP="0038036D">
      <w:pPr>
        <w:numPr>
          <w:ilvl w:val="1"/>
          <w:numId w:val="1"/>
        </w:numPr>
        <w:contextualSpacing/>
        <w:rPr>
          <w:rFonts w:asciiTheme="minorHAnsi" w:hAnsiTheme="minorHAnsi" w:cstheme="minorHAnsi"/>
          <w:b/>
          <w:lang w:eastAsia="en-US"/>
        </w:rPr>
      </w:pPr>
      <w:r w:rsidRPr="0038036D">
        <w:rPr>
          <w:rFonts w:asciiTheme="minorHAnsi" w:hAnsiTheme="minorHAnsi" w:cstheme="minorHAnsi"/>
          <w:b/>
          <w:lang w:eastAsia="en-US"/>
        </w:rPr>
        <w:t>Fradrag i variabel godtgjørelse og tilbakebetaling</w:t>
      </w:r>
    </w:p>
    <w:p w14:paraId="0D1D0523" w14:textId="77777777" w:rsidR="0038036D" w:rsidRDefault="0038036D" w:rsidP="0038036D"/>
    <w:p w14:paraId="6507C0A2" w14:textId="77777777" w:rsidR="0038036D" w:rsidRPr="00202FDA" w:rsidRDefault="00556C4B" w:rsidP="0038036D">
      <w:pPr>
        <w:rPr>
          <w:rFonts w:asciiTheme="minorHAnsi" w:hAnsiTheme="minorHAnsi" w:cstheme="minorHAnsi"/>
        </w:rPr>
      </w:pPr>
      <w:r w:rsidRPr="00202FDA">
        <w:rPr>
          <w:rFonts w:asciiTheme="minorHAnsi" w:hAnsiTheme="minorHAnsi" w:cstheme="minorHAnsi"/>
        </w:rPr>
        <w:t xml:space="preserve">Dersom banken har et svakt eller negativt resultat, skal samlet variabel godtgjørelse reduseres vesentlig, sett hen til både nåværende godtgjørelse og reduksjoner i utbetaling av tidligere opptjente beløp blant annet gjennom fradrags- og tilbakebetalingsordninger. </w:t>
      </w:r>
    </w:p>
    <w:p w14:paraId="4CC5C696" w14:textId="77777777" w:rsidR="0038036D" w:rsidRPr="00202FDA" w:rsidRDefault="0038036D" w:rsidP="0038036D">
      <w:pPr>
        <w:rPr>
          <w:rFonts w:asciiTheme="minorHAnsi" w:hAnsiTheme="minorHAnsi" w:cstheme="minorHAnsi"/>
        </w:rPr>
      </w:pPr>
    </w:p>
    <w:p w14:paraId="15D77C9F" w14:textId="3A0C0B03" w:rsidR="00556C4B" w:rsidRPr="00202FDA" w:rsidRDefault="00556C4B" w:rsidP="0038036D">
      <w:pPr>
        <w:rPr>
          <w:rFonts w:asciiTheme="minorHAnsi" w:hAnsiTheme="minorHAnsi" w:cstheme="minorHAnsi"/>
        </w:rPr>
      </w:pPr>
      <w:r w:rsidRPr="00202FDA">
        <w:rPr>
          <w:rFonts w:asciiTheme="minorHAnsi" w:hAnsiTheme="minorHAnsi" w:cstheme="minorHAnsi"/>
        </w:rPr>
        <w:t xml:space="preserve">Det skal fastsettes spesifikke kriterier for fradrag i og tilbakebetaling av </w:t>
      </w:r>
      <w:r w:rsidR="00DD76A1" w:rsidRPr="00202FDA">
        <w:rPr>
          <w:rFonts w:asciiTheme="minorHAnsi" w:hAnsiTheme="minorHAnsi" w:cstheme="minorHAnsi"/>
        </w:rPr>
        <w:t xml:space="preserve">inntil </w:t>
      </w:r>
      <w:r w:rsidRPr="00202FDA">
        <w:rPr>
          <w:rFonts w:asciiTheme="minorHAnsi" w:hAnsiTheme="minorHAnsi" w:cstheme="minorHAnsi"/>
        </w:rPr>
        <w:t>100 prosent av den samlede variable godtgjørelsen. Slike kriterier skal omfatte situasjoner der den ansatte deltok i eller var ansvarlig for adferd som resulterte i et betydelig tap for banken, eller hvor den ansatte ellers ikke opptrådte på en egnet og hensiktsmessig måte.</w:t>
      </w:r>
    </w:p>
    <w:p w14:paraId="697C0695" w14:textId="77777777" w:rsidR="00997BC3" w:rsidRDefault="00997BC3" w:rsidP="0038036D"/>
    <w:p w14:paraId="76FE7697" w14:textId="70571800" w:rsidR="00997BC3" w:rsidRPr="00407D6B" w:rsidRDefault="00997BC3" w:rsidP="00FA039E">
      <w:pPr>
        <w:pStyle w:val="Listeavsnitt"/>
        <w:numPr>
          <w:ilvl w:val="0"/>
          <w:numId w:val="1"/>
        </w:numPr>
        <w:rPr>
          <w:rFonts w:asciiTheme="minorHAnsi" w:hAnsiTheme="minorHAnsi" w:cstheme="minorHAnsi"/>
          <w:b/>
          <w:lang w:eastAsia="en-US"/>
        </w:rPr>
      </w:pPr>
      <w:r>
        <w:rPr>
          <w:rFonts w:asciiTheme="minorHAnsi" w:hAnsiTheme="minorHAnsi" w:cstheme="minorHAnsi"/>
          <w:b/>
          <w:lang w:eastAsia="en-US"/>
        </w:rPr>
        <w:t>Rapport om lønn og annen godtgjørelse til ledende personer</w:t>
      </w:r>
    </w:p>
    <w:p w14:paraId="1A7306B8" w14:textId="77777777" w:rsidR="00997BC3" w:rsidRDefault="00997BC3" w:rsidP="0038036D"/>
    <w:p w14:paraId="3E0E2D3F" w14:textId="46230B57" w:rsidR="00997BC3" w:rsidRPr="00202FDA" w:rsidRDefault="00997BC3" w:rsidP="00997BC3">
      <w:pPr>
        <w:rPr>
          <w:rFonts w:asciiTheme="minorHAnsi" w:hAnsiTheme="minorHAnsi" w:cstheme="minorHAnsi"/>
        </w:rPr>
      </w:pPr>
      <w:r w:rsidRPr="00202FDA">
        <w:rPr>
          <w:rFonts w:asciiTheme="minorHAnsi" w:hAnsiTheme="minorHAnsi" w:cstheme="minorHAnsi"/>
        </w:rPr>
        <w:t xml:space="preserve">Styret skal for hvert regnskapsår sørge for at det utarbeides en rapport om lønn og annen godtgjørelse til ledende personer i henhold til Allmennaksjeloven § 6-16b og forskrift om retningslinjer og rapport om godtgjørelse for ledende personer. Revisor skal, før rapporten behandles i forstanderskapet, kontrollere at rapporten inneholder opplysninger som kreves etter lov og forskrift. </w:t>
      </w:r>
    </w:p>
    <w:p w14:paraId="40EA9C15" w14:textId="77777777" w:rsidR="00997BC3" w:rsidRPr="00202FDA" w:rsidRDefault="00997BC3" w:rsidP="00997BC3">
      <w:pPr>
        <w:rPr>
          <w:rFonts w:asciiTheme="minorHAnsi" w:hAnsiTheme="minorHAnsi" w:cstheme="minorHAnsi"/>
        </w:rPr>
      </w:pPr>
    </w:p>
    <w:p w14:paraId="0372B570" w14:textId="77777777" w:rsidR="00997BC3" w:rsidRPr="00202FDA" w:rsidRDefault="00997BC3" w:rsidP="00997BC3">
      <w:pPr>
        <w:rPr>
          <w:rFonts w:asciiTheme="minorHAnsi" w:hAnsiTheme="minorHAnsi" w:cstheme="minorHAnsi"/>
        </w:rPr>
      </w:pPr>
      <w:r w:rsidRPr="00202FDA">
        <w:rPr>
          <w:rFonts w:asciiTheme="minorHAnsi" w:hAnsiTheme="minorHAnsi" w:cstheme="minorHAnsi"/>
        </w:rPr>
        <w:t xml:space="preserve">Det skal holdes en rådgivende avstemming over rapporten i forstanderskapet. </w:t>
      </w:r>
    </w:p>
    <w:p w14:paraId="3B67D6B4" w14:textId="77777777" w:rsidR="00997BC3" w:rsidRPr="00202FDA" w:rsidRDefault="00997BC3" w:rsidP="0038036D">
      <w:pPr>
        <w:rPr>
          <w:rFonts w:asciiTheme="minorHAnsi" w:hAnsiTheme="minorHAnsi" w:cstheme="minorHAnsi"/>
        </w:rPr>
      </w:pPr>
    </w:p>
    <w:sectPr w:rsidR="00997BC3" w:rsidRPr="00202FD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92BF" w14:textId="77777777" w:rsidR="00232B78" w:rsidRDefault="000A6855">
      <w:r>
        <w:separator/>
      </w:r>
    </w:p>
  </w:endnote>
  <w:endnote w:type="continuationSeparator" w:id="0">
    <w:p w14:paraId="4FB8758D" w14:textId="77777777" w:rsidR="00232B78" w:rsidRDefault="000A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1740" w14:textId="77777777" w:rsidR="0075747B" w:rsidRDefault="0075747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915591"/>
      <w:docPartObj>
        <w:docPartGallery w:val="Page Numbers (Bottom of Page)"/>
        <w:docPartUnique/>
      </w:docPartObj>
    </w:sdtPr>
    <w:sdtEndPr>
      <w:rPr>
        <w:rFonts w:asciiTheme="minorHAnsi" w:hAnsiTheme="minorHAnsi" w:cstheme="minorHAnsi"/>
      </w:rPr>
    </w:sdtEndPr>
    <w:sdtContent>
      <w:p w14:paraId="33EC04BB" w14:textId="77777777" w:rsidR="0075747B" w:rsidRPr="00B12507" w:rsidRDefault="007320D8">
        <w:pPr>
          <w:pStyle w:val="Bunntekst"/>
          <w:jc w:val="right"/>
          <w:rPr>
            <w:rFonts w:asciiTheme="minorHAnsi" w:hAnsiTheme="minorHAnsi" w:cstheme="minorHAnsi"/>
          </w:rPr>
        </w:pPr>
        <w:r w:rsidRPr="00B12507">
          <w:rPr>
            <w:rFonts w:asciiTheme="minorHAnsi" w:hAnsiTheme="minorHAnsi" w:cstheme="minorHAnsi"/>
          </w:rPr>
          <w:fldChar w:fldCharType="begin"/>
        </w:r>
        <w:r w:rsidRPr="00B12507">
          <w:rPr>
            <w:rFonts w:asciiTheme="minorHAnsi" w:hAnsiTheme="minorHAnsi" w:cstheme="minorHAnsi"/>
          </w:rPr>
          <w:instrText>PAGE   \* MERGEFORMAT</w:instrText>
        </w:r>
        <w:r w:rsidRPr="00B12507">
          <w:rPr>
            <w:rFonts w:asciiTheme="minorHAnsi" w:hAnsiTheme="minorHAnsi" w:cstheme="minorHAnsi"/>
          </w:rPr>
          <w:fldChar w:fldCharType="separate"/>
        </w:r>
        <w:r w:rsidRPr="00F16E81">
          <w:rPr>
            <w:rFonts w:asciiTheme="minorHAnsi" w:hAnsiTheme="minorHAnsi" w:cstheme="minorHAnsi"/>
            <w:noProof/>
            <w:lang w:val="nb-NO"/>
          </w:rPr>
          <w:t>1</w:t>
        </w:r>
        <w:r w:rsidRPr="00B12507">
          <w:rPr>
            <w:rFonts w:asciiTheme="minorHAnsi" w:hAnsiTheme="minorHAnsi" w:cstheme="minorHAnsi"/>
          </w:rPr>
          <w:fldChar w:fldCharType="end"/>
        </w:r>
      </w:p>
    </w:sdtContent>
  </w:sdt>
  <w:p w14:paraId="007E377E" w14:textId="77777777" w:rsidR="0075747B" w:rsidRDefault="0075747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D5B2" w14:textId="77777777" w:rsidR="0075747B" w:rsidRDefault="0075747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3AB7" w14:textId="77777777" w:rsidR="00232B78" w:rsidRDefault="000A6855">
      <w:r>
        <w:separator/>
      </w:r>
    </w:p>
  </w:footnote>
  <w:footnote w:type="continuationSeparator" w:id="0">
    <w:p w14:paraId="4BCA18AB" w14:textId="77777777" w:rsidR="00232B78" w:rsidRDefault="000A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C90" w14:textId="77777777" w:rsidR="0075747B" w:rsidRDefault="0075747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E042" w14:textId="77777777" w:rsidR="0075747B" w:rsidRDefault="0075747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5B9C" w14:textId="77777777" w:rsidR="0075747B" w:rsidRDefault="0075747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7AC"/>
    <w:multiLevelType w:val="hybridMultilevel"/>
    <w:tmpl w:val="6276CB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CC40B29"/>
    <w:multiLevelType w:val="hybridMultilevel"/>
    <w:tmpl w:val="86004FC4"/>
    <w:lvl w:ilvl="0" w:tplc="04140001">
      <w:start w:val="1"/>
      <w:numFmt w:val="bullet"/>
      <w:lvlText w:val=""/>
      <w:lvlJc w:val="left"/>
      <w:pPr>
        <w:ind w:left="774" w:hanging="360"/>
      </w:pPr>
      <w:rPr>
        <w:rFonts w:ascii="Symbol" w:hAnsi="Symbol" w:hint="default"/>
      </w:rPr>
    </w:lvl>
    <w:lvl w:ilvl="1" w:tplc="04140003" w:tentative="1">
      <w:start w:val="1"/>
      <w:numFmt w:val="bullet"/>
      <w:lvlText w:val="o"/>
      <w:lvlJc w:val="left"/>
      <w:pPr>
        <w:ind w:left="1494" w:hanging="360"/>
      </w:pPr>
      <w:rPr>
        <w:rFonts w:ascii="Courier New" w:hAnsi="Courier New" w:cs="Courier New" w:hint="default"/>
      </w:rPr>
    </w:lvl>
    <w:lvl w:ilvl="2" w:tplc="04140005" w:tentative="1">
      <w:start w:val="1"/>
      <w:numFmt w:val="bullet"/>
      <w:lvlText w:val=""/>
      <w:lvlJc w:val="left"/>
      <w:pPr>
        <w:ind w:left="2214" w:hanging="360"/>
      </w:pPr>
      <w:rPr>
        <w:rFonts w:ascii="Wingdings" w:hAnsi="Wingdings" w:hint="default"/>
      </w:rPr>
    </w:lvl>
    <w:lvl w:ilvl="3" w:tplc="04140001" w:tentative="1">
      <w:start w:val="1"/>
      <w:numFmt w:val="bullet"/>
      <w:lvlText w:val=""/>
      <w:lvlJc w:val="left"/>
      <w:pPr>
        <w:ind w:left="2934" w:hanging="360"/>
      </w:pPr>
      <w:rPr>
        <w:rFonts w:ascii="Symbol" w:hAnsi="Symbol" w:hint="default"/>
      </w:rPr>
    </w:lvl>
    <w:lvl w:ilvl="4" w:tplc="04140003" w:tentative="1">
      <w:start w:val="1"/>
      <w:numFmt w:val="bullet"/>
      <w:lvlText w:val="o"/>
      <w:lvlJc w:val="left"/>
      <w:pPr>
        <w:ind w:left="3654" w:hanging="360"/>
      </w:pPr>
      <w:rPr>
        <w:rFonts w:ascii="Courier New" w:hAnsi="Courier New" w:cs="Courier New" w:hint="default"/>
      </w:rPr>
    </w:lvl>
    <w:lvl w:ilvl="5" w:tplc="04140005" w:tentative="1">
      <w:start w:val="1"/>
      <w:numFmt w:val="bullet"/>
      <w:lvlText w:val=""/>
      <w:lvlJc w:val="left"/>
      <w:pPr>
        <w:ind w:left="4374" w:hanging="360"/>
      </w:pPr>
      <w:rPr>
        <w:rFonts w:ascii="Wingdings" w:hAnsi="Wingdings" w:hint="default"/>
      </w:rPr>
    </w:lvl>
    <w:lvl w:ilvl="6" w:tplc="04140001" w:tentative="1">
      <w:start w:val="1"/>
      <w:numFmt w:val="bullet"/>
      <w:lvlText w:val=""/>
      <w:lvlJc w:val="left"/>
      <w:pPr>
        <w:ind w:left="5094" w:hanging="360"/>
      </w:pPr>
      <w:rPr>
        <w:rFonts w:ascii="Symbol" w:hAnsi="Symbol" w:hint="default"/>
      </w:rPr>
    </w:lvl>
    <w:lvl w:ilvl="7" w:tplc="04140003" w:tentative="1">
      <w:start w:val="1"/>
      <w:numFmt w:val="bullet"/>
      <w:lvlText w:val="o"/>
      <w:lvlJc w:val="left"/>
      <w:pPr>
        <w:ind w:left="5814" w:hanging="360"/>
      </w:pPr>
      <w:rPr>
        <w:rFonts w:ascii="Courier New" w:hAnsi="Courier New" w:cs="Courier New" w:hint="default"/>
      </w:rPr>
    </w:lvl>
    <w:lvl w:ilvl="8" w:tplc="04140005" w:tentative="1">
      <w:start w:val="1"/>
      <w:numFmt w:val="bullet"/>
      <w:lvlText w:val=""/>
      <w:lvlJc w:val="left"/>
      <w:pPr>
        <w:ind w:left="6534" w:hanging="360"/>
      </w:pPr>
      <w:rPr>
        <w:rFonts w:ascii="Wingdings" w:hAnsi="Wingdings" w:hint="default"/>
      </w:rPr>
    </w:lvl>
  </w:abstractNum>
  <w:abstractNum w:abstractNumId="2" w15:restartNumberingAfterBreak="0">
    <w:nsid w:val="32866FD9"/>
    <w:multiLevelType w:val="multilevel"/>
    <w:tmpl w:val="7242D62E"/>
    <w:lvl w:ilvl="0">
      <w:start w:val="1"/>
      <w:numFmt w:val="decimal"/>
      <w:lvlText w:val="%1."/>
      <w:lvlJc w:val="left"/>
      <w:pPr>
        <w:ind w:left="720" w:hanging="36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5143D7"/>
    <w:multiLevelType w:val="hybridMultilevel"/>
    <w:tmpl w:val="B81A67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7237ED4"/>
    <w:multiLevelType w:val="multilevel"/>
    <w:tmpl w:val="7242D6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D37841"/>
    <w:multiLevelType w:val="hybridMultilevel"/>
    <w:tmpl w:val="5FDA9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60A205D"/>
    <w:multiLevelType w:val="hybridMultilevel"/>
    <w:tmpl w:val="8E387B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C4A7887"/>
    <w:multiLevelType w:val="multilevel"/>
    <w:tmpl w:val="7242D62E"/>
    <w:lvl w:ilvl="0">
      <w:start w:val="1"/>
      <w:numFmt w:val="decimal"/>
      <w:lvlText w:val="%1."/>
      <w:lvlJc w:val="left"/>
      <w:pPr>
        <w:ind w:left="720" w:hanging="36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832E3D"/>
    <w:multiLevelType w:val="hybridMultilevel"/>
    <w:tmpl w:val="3A2AD9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C04180D"/>
    <w:multiLevelType w:val="hybridMultilevel"/>
    <w:tmpl w:val="A29840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EB72792"/>
    <w:multiLevelType w:val="hybridMultilevel"/>
    <w:tmpl w:val="5B6C993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75D77C60"/>
    <w:multiLevelType w:val="hybridMultilevel"/>
    <w:tmpl w:val="9D0086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7E3050F"/>
    <w:multiLevelType w:val="hybridMultilevel"/>
    <w:tmpl w:val="6B0C25B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750997490">
    <w:abstractNumId w:val="2"/>
  </w:num>
  <w:num w:numId="2" w16cid:durableId="134493964">
    <w:abstractNumId w:val="12"/>
  </w:num>
  <w:num w:numId="3" w16cid:durableId="1978992295">
    <w:abstractNumId w:val="1"/>
  </w:num>
  <w:num w:numId="4" w16cid:durableId="1728411558">
    <w:abstractNumId w:val="4"/>
  </w:num>
  <w:num w:numId="5" w16cid:durableId="1352873089">
    <w:abstractNumId w:val="10"/>
  </w:num>
  <w:num w:numId="6" w16cid:durableId="1590652068">
    <w:abstractNumId w:val="0"/>
  </w:num>
  <w:num w:numId="7" w16cid:durableId="982468007">
    <w:abstractNumId w:val="8"/>
  </w:num>
  <w:num w:numId="8" w16cid:durableId="37172867">
    <w:abstractNumId w:val="11"/>
  </w:num>
  <w:num w:numId="9" w16cid:durableId="860708452">
    <w:abstractNumId w:val="9"/>
  </w:num>
  <w:num w:numId="10" w16cid:durableId="1379747038">
    <w:abstractNumId w:val="3"/>
  </w:num>
  <w:num w:numId="11" w16cid:durableId="1109937228">
    <w:abstractNumId w:val="5"/>
  </w:num>
  <w:num w:numId="12" w16cid:durableId="356127358">
    <w:abstractNumId w:val="7"/>
  </w:num>
  <w:num w:numId="13" w16cid:durableId="59249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9D"/>
    <w:rsid w:val="0002335A"/>
    <w:rsid w:val="00027780"/>
    <w:rsid w:val="00030A45"/>
    <w:rsid w:val="00062226"/>
    <w:rsid w:val="0009223E"/>
    <w:rsid w:val="000A6855"/>
    <w:rsid w:val="000B5DE4"/>
    <w:rsid w:val="000D29F0"/>
    <w:rsid w:val="000E6AEF"/>
    <w:rsid w:val="001145A8"/>
    <w:rsid w:val="00114771"/>
    <w:rsid w:val="00141EA5"/>
    <w:rsid w:val="00145D10"/>
    <w:rsid w:val="00152160"/>
    <w:rsid w:val="001609BE"/>
    <w:rsid w:val="0017636E"/>
    <w:rsid w:val="0017775A"/>
    <w:rsid w:val="00177BD0"/>
    <w:rsid w:val="0018442C"/>
    <w:rsid w:val="001A3944"/>
    <w:rsid w:val="001B55B3"/>
    <w:rsid w:val="001E1B56"/>
    <w:rsid w:val="00202FDA"/>
    <w:rsid w:val="002261CA"/>
    <w:rsid w:val="00227DCC"/>
    <w:rsid w:val="00232B78"/>
    <w:rsid w:val="002420C2"/>
    <w:rsid w:val="00244687"/>
    <w:rsid w:val="002552C4"/>
    <w:rsid w:val="00267C51"/>
    <w:rsid w:val="00271FAD"/>
    <w:rsid w:val="0027274B"/>
    <w:rsid w:val="00276E63"/>
    <w:rsid w:val="0028189D"/>
    <w:rsid w:val="002A6145"/>
    <w:rsid w:val="002B47BE"/>
    <w:rsid w:val="002C0947"/>
    <w:rsid w:val="002D64D2"/>
    <w:rsid w:val="002F2C22"/>
    <w:rsid w:val="002F6C27"/>
    <w:rsid w:val="003528EB"/>
    <w:rsid w:val="00361E4F"/>
    <w:rsid w:val="003633A4"/>
    <w:rsid w:val="00370E8E"/>
    <w:rsid w:val="0038036D"/>
    <w:rsid w:val="003A026D"/>
    <w:rsid w:val="003A2A84"/>
    <w:rsid w:val="003A6B1C"/>
    <w:rsid w:val="003C269C"/>
    <w:rsid w:val="003D0BAB"/>
    <w:rsid w:val="004057E1"/>
    <w:rsid w:val="00407D6B"/>
    <w:rsid w:val="00411BF9"/>
    <w:rsid w:val="00453207"/>
    <w:rsid w:val="00470088"/>
    <w:rsid w:val="0047184A"/>
    <w:rsid w:val="00473A26"/>
    <w:rsid w:val="004A225F"/>
    <w:rsid w:val="004A3B8B"/>
    <w:rsid w:val="004A5D10"/>
    <w:rsid w:val="004C2936"/>
    <w:rsid w:val="00501C42"/>
    <w:rsid w:val="00520284"/>
    <w:rsid w:val="00556C4B"/>
    <w:rsid w:val="00560DFC"/>
    <w:rsid w:val="00571436"/>
    <w:rsid w:val="00571F3A"/>
    <w:rsid w:val="00576185"/>
    <w:rsid w:val="005A0814"/>
    <w:rsid w:val="005C6F98"/>
    <w:rsid w:val="005E6D4F"/>
    <w:rsid w:val="00606180"/>
    <w:rsid w:val="006A0558"/>
    <w:rsid w:val="006A799A"/>
    <w:rsid w:val="006D6439"/>
    <w:rsid w:val="006F31BE"/>
    <w:rsid w:val="006F47FF"/>
    <w:rsid w:val="00701AAB"/>
    <w:rsid w:val="0072268B"/>
    <w:rsid w:val="007320D8"/>
    <w:rsid w:val="00744434"/>
    <w:rsid w:val="007561CA"/>
    <w:rsid w:val="0075747B"/>
    <w:rsid w:val="00782273"/>
    <w:rsid w:val="00785C17"/>
    <w:rsid w:val="007937AE"/>
    <w:rsid w:val="00794676"/>
    <w:rsid w:val="007B4041"/>
    <w:rsid w:val="007E21F6"/>
    <w:rsid w:val="007F1A15"/>
    <w:rsid w:val="00807569"/>
    <w:rsid w:val="00807D4A"/>
    <w:rsid w:val="008526C1"/>
    <w:rsid w:val="0085547F"/>
    <w:rsid w:val="008559B0"/>
    <w:rsid w:val="00856120"/>
    <w:rsid w:val="00886CBC"/>
    <w:rsid w:val="008C3308"/>
    <w:rsid w:val="008D5049"/>
    <w:rsid w:val="008F2D6C"/>
    <w:rsid w:val="008F4ACC"/>
    <w:rsid w:val="00930C1C"/>
    <w:rsid w:val="00954470"/>
    <w:rsid w:val="00975C7B"/>
    <w:rsid w:val="0098710C"/>
    <w:rsid w:val="00995CF9"/>
    <w:rsid w:val="00997BC3"/>
    <w:rsid w:val="009A10AE"/>
    <w:rsid w:val="009D3539"/>
    <w:rsid w:val="009D74B7"/>
    <w:rsid w:val="00A100B5"/>
    <w:rsid w:val="00A26A63"/>
    <w:rsid w:val="00A40401"/>
    <w:rsid w:val="00A41BC0"/>
    <w:rsid w:val="00A46ABE"/>
    <w:rsid w:val="00A56D65"/>
    <w:rsid w:val="00A70863"/>
    <w:rsid w:val="00AA2454"/>
    <w:rsid w:val="00AF3A33"/>
    <w:rsid w:val="00B03C3D"/>
    <w:rsid w:val="00B05A06"/>
    <w:rsid w:val="00B17DCE"/>
    <w:rsid w:val="00B25E19"/>
    <w:rsid w:val="00B26134"/>
    <w:rsid w:val="00B566E2"/>
    <w:rsid w:val="00B7746D"/>
    <w:rsid w:val="00BA7135"/>
    <w:rsid w:val="00BB52F6"/>
    <w:rsid w:val="00BE7AB2"/>
    <w:rsid w:val="00C06972"/>
    <w:rsid w:val="00C53173"/>
    <w:rsid w:val="00C66961"/>
    <w:rsid w:val="00C955C1"/>
    <w:rsid w:val="00C97E40"/>
    <w:rsid w:val="00CD55FB"/>
    <w:rsid w:val="00CE556C"/>
    <w:rsid w:val="00CF059B"/>
    <w:rsid w:val="00D07ACF"/>
    <w:rsid w:val="00D26AA2"/>
    <w:rsid w:val="00D867CA"/>
    <w:rsid w:val="00DA4784"/>
    <w:rsid w:val="00DD76A1"/>
    <w:rsid w:val="00DE5C35"/>
    <w:rsid w:val="00E05D8C"/>
    <w:rsid w:val="00E22C42"/>
    <w:rsid w:val="00E56594"/>
    <w:rsid w:val="00E605DF"/>
    <w:rsid w:val="00E95827"/>
    <w:rsid w:val="00EB1ABA"/>
    <w:rsid w:val="00EC059B"/>
    <w:rsid w:val="00EC3394"/>
    <w:rsid w:val="00ED7584"/>
    <w:rsid w:val="00EE7644"/>
    <w:rsid w:val="00F01CF6"/>
    <w:rsid w:val="00F04328"/>
    <w:rsid w:val="00F06096"/>
    <w:rsid w:val="00F852F4"/>
    <w:rsid w:val="00FA039E"/>
    <w:rsid w:val="00FA54B4"/>
    <w:rsid w:val="00FC58C2"/>
    <w:rsid w:val="00FC69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48EA9"/>
  <w15:chartTrackingRefBased/>
  <w15:docId w15:val="{E45C8DCD-24F5-411B-82FE-2C7BA235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28189D"/>
    <w:pPr>
      <w:tabs>
        <w:tab w:val="center" w:pos="4536"/>
        <w:tab w:val="right" w:pos="9072"/>
      </w:tabs>
    </w:pPr>
    <w:rPr>
      <w:lang w:val="en-US" w:eastAsia="en-US"/>
    </w:rPr>
  </w:style>
  <w:style w:type="character" w:customStyle="1" w:styleId="TopptekstTegn">
    <w:name w:val="Topptekst Tegn"/>
    <w:basedOn w:val="Standardskriftforavsnitt"/>
    <w:link w:val="Topptekst"/>
    <w:rsid w:val="0028189D"/>
    <w:rPr>
      <w:sz w:val="24"/>
      <w:szCs w:val="24"/>
      <w:lang w:val="en-US" w:eastAsia="en-US"/>
    </w:rPr>
  </w:style>
  <w:style w:type="paragraph" w:styleId="Bunntekst">
    <w:name w:val="footer"/>
    <w:basedOn w:val="Normal"/>
    <w:link w:val="BunntekstTegn"/>
    <w:uiPriority w:val="99"/>
    <w:unhideWhenUsed/>
    <w:rsid w:val="0028189D"/>
    <w:pPr>
      <w:tabs>
        <w:tab w:val="center" w:pos="4536"/>
        <w:tab w:val="right" w:pos="9072"/>
      </w:tabs>
    </w:pPr>
    <w:rPr>
      <w:lang w:val="en-US" w:eastAsia="en-US"/>
    </w:rPr>
  </w:style>
  <w:style w:type="character" w:customStyle="1" w:styleId="BunntekstTegn">
    <w:name w:val="Bunntekst Tegn"/>
    <w:basedOn w:val="Standardskriftforavsnitt"/>
    <w:link w:val="Bunntekst"/>
    <w:uiPriority w:val="99"/>
    <w:rsid w:val="0028189D"/>
    <w:rPr>
      <w:sz w:val="24"/>
      <w:szCs w:val="24"/>
      <w:lang w:val="en-US" w:eastAsia="en-US"/>
    </w:rPr>
  </w:style>
  <w:style w:type="paragraph" w:styleId="Listeavsnitt">
    <w:name w:val="List Paragraph"/>
    <w:basedOn w:val="Normal"/>
    <w:uiPriority w:val="34"/>
    <w:qFormat/>
    <w:rsid w:val="005A0814"/>
    <w:pPr>
      <w:ind w:left="720"/>
      <w:contextualSpacing/>
    </w:pPr>
  </w:style>
  <w:style w:type="paragraph" w:styleId="Revisjon">
    <w:name w:val="Revision"/>
    <w:hidden/>
    <w:uiPriority w:val="99"/>
    <w:semiHidden/>
    <w:rsid w:val="00A100B5"/>
    <w:rPr>
      <w:sz w:val="24"/>
      <w:szCs w:val="24"/>
    </w:rPr>
  </w:style>
  <w:style w:type="character" w:styleId="Merknadsreferanse">
    <w:name w:val="annotation reference"/>
    <w:basedOn w:val="Standardskriftforavsnitt"/>
    <w:semiHidden/>
    <w:unhideWhenUsed/>
    <w:rsid w:val="00807569"/>
    <w:rPr>
      <w:sz w:val="16"/>
      <w:szCs w:val="16"/>
    </w:rPr>
  </w:style>
  <w:style w:type="paragraph" w:styleId="Merknadstekst">
    <w:name w:val="annotation text"/>
    <w:basedOn w:val="Normal"/>
    <w:link w:val="MerknadstekstTegn"/>
    <w:unhideWhenUsed/>
    <w:rsid w:val="00807569"/>
    <w:rPr>
      <w:sz w:val="20"/>
      <w:szCs w:val="20"/>
    </w:rPr>
  </w:style>
  <w:style w:type="character" w:customStyle="1" w:styleId="MerknadstekstTegn">
    <w:name w:val="Merknadstekst Tegn"/>
    <w:basedOn w:val="Standardskriftforavsnitt"/>
    <w:link w:val="Merknadstekst"/>
    <w:rsid w:val="00807569"/>
  </w:style>
  <w:style w:type="paragraph" w:styleId="Kommentaremne">
    <w:name w:val="annotation subject"/>
    <w:basedOn w:val="Merknadstekst"/>
    <w:next w:val="Merknadstekst"/>
    <w:link w:val="KommentaremneTegn"/>
    <w:semiHidden/>
    <w:unhideWhenUsed/>
    <w:rsid w:val="00807569"/>
    <w:rPr>
      <w:b/>
      <w:bCs/>
    </w:rPr>
  </w:style>
  <w:style w:type="character" w:customStyle="1" w:styleId="KommentaremneTegn">
    <w:name w:val="Kommentaremne Tegn"/>
    <w:basedOn w:val="MerknadstekstTegn"/>
    <w:link w:val="Kommentaremne"/>
    <w:semiHidden/>
    <w:rsid w:val="00807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IMANAGE!14278510.11</documentid>
  <senderid>H.HOKSNES@SELMER.NO</senderid>
  <senderemail>H.HOKSNES@SELMER.NO</senderemail>
  <lastmodified>2026-02-05T12:10:00.0000000+01:00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34E59-9C4D-402A-8AE9-5E0533BAF85F}">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8861F267-50CA-4B80-814B-C14ABED9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2733</Words>
  <Characters>14485</Characters>
  <Application>Microsoft Office Word</Application>
  <DocSecurity>4</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Sparebanken Oest</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Myhre, Kristin Wittussen</dc:creator>
  <cp:keywords/>
  <dc:description/>
  <cp:lastModifiedBy>Myhre, Kristin Wittussen</cp:lastModifiedBy>
  <cp:revision>2</cp:revision>
  <cp:lastPrinted>2023-02-23T14:04:00Z</cp:lastPrinted>
  <dcterms:created xsi:type="dcterms:W3CDTF">2026-02-06T14:04:00Z</dcterms:created>
  <dcterms:modified xsi:type="dcterms:W3CDTF">2026-02-06T14:04:00Z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CClient">
    <vt:lpwstr>165293</vt:lpwstr>
  </property>
  <property fmtid="{D5CDD505-2E9C-101B-9397-08002B2CF9AE}" pid="3" name="PSACMatter">
    <vt:lpwstr>165293-515</vt:lpwstr>
  </property>
</Properties>
</file>